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1E514" w14:textId="77777777" w:rsidR="003100E7" w:rsidRPr="0046270A" w:rsidRDefault="003100E7" w:rsidP="0046270A">
      <w:pPr>
        <w:pStyle w:val="NoSpacing"/>
        <w:jc w:val="right"/>
        <w:rPr>
          <w:rFonts w:ascii="Times New Roman" w:hAnsi="Times New Roman" w:cs="Times New Roman"/>
          <w:sz w:val="24"/>
          <w:szCs w:val="24"/>
          <w:lang w:val="ro-MD"/>
        </w:rPr>
      </w:pPr>
      <w:bookmarkStart w:id="0" w:name="_GoBack"/>
      <w:bookmarkEnd w:id="0"/>
      <w:r w:rsidRPr="0046270A">
        <w:rPr>
          <w:rFonts w:ascii="Times New Roman" w:hAnsi="Times New Roman" w:cs="Times New Roman"/>
          <w:sz w:val="24"/>
          <w:szCs w:val="24"/>
          <w:lang w:val="ro-MD"/>
        </w:rPr>
        <w:t>UE</w:t>
      </w:r>
    </w:p>
    <w:p w14:paraId="0E6E095C" w14:textId="77777777" w:rsidR="003100E7" w:rsidRDefault="003100E7" w:rsidP="00A718BE">
      <w:pPr>
        <w:spacing w:after="0" w:line="240" w:lineRule="auto"/>
        <w:jc w:val="center"/>
        <w:rPr>
          <w:rFonts w:ascii="Times New Roman" w:eastAsia="Times New Roman" w:hAnsi="Times New Roman" w:cs="Times New Roman"/>
          <w:b/>
          <w:bCs/>
          <w:sz w:val="24"/>
          <w:szCs w:val="24"/>
          <w:lang w:val="ro-MD"/>
        </w:rPr>
      </w:pPr>
    </w:p>
    <w:p w14:paraId="2E69C0C6" w14:textId="77777777" w:rsidR="003100E7" w:rsidRDefault="003100E7" w:rsidP="00A718BE">
      <w:pPr>
        <w:spacing w:after="0" w:line="240" w:lineRule="auto"/>
        <w:jc w:val="center"/>
        <w:rPr>
          <w:rFonts w:ascii="Times New Roman" w:eastAsia="Times New Roman" w:hAnsi="Times New Roman" w:cs="Times New Roman"/>
          <w:b/>
          <w:bCs/>
          <w:sz w:val="24"/>
          <w:szCs w:val="24"/>
          <w:lang w:val="ro-MD"/>
        </w:rPr>
      </w:pPr>
    </w:p>
    <w:p w14:paraId="57FCD19F" w14:textId="77777777" w:rsidR="00010293" w:rsidRPr="00D33118" w:rsidRDefault="00010293" w:rsidP="00010293">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COMITETUL EXECUTIV</w:t>
      </w:r>
    </w:p>
    <w:p w14:paraId="1902A518" w14:textId="77777777" w:rsidR="00010293" w:rsidRPr="00D33118" w:rsidRDefault="00010293" w:rsidP="00010293">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AL BĂNCII NAȚIONALE A MOLDOVEI</w:t>
      </w:r>
    </w:p>
    <w:p w14:paraId="15844584" w14:textId="77777777" w:rsidR="00010293" w:rsidRPr="00D33118" w:rsidRDefault="00010293" w:rsidP="00010293">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0E6B8A7C" w14:textId="77777777" w:rsidR="00010293" w:rsidRPr="00D33118" w:rsidRDefault="00010293" w:rsidP="00010293">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HOTĂRÂREA nr.</w:t>
      </w:r>
    </w:p>
    <w:p w14:paraId="4EAC6CFF" w14:textId="77777777" w:rsidR="00010293" w:rsidRPr="00D33118" w:rsidRDefault="00010293" w:rsidP="00010293">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din ___    ____________  20 __</w:t>
      </w:r>
    </w:p>
    <w:p w14:paraId="47DE4415" w14:textId="77777777" w:rsidR="00010293" w:rsidRPr="00D33118" w:rsidRDefault="00010293" w:rsidP="00010293">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2E84A84C" w14:textId="2C0692D2" w:rsidR="00010293" w:rsidRPr="00723A47" w:rsidRDefault="00010293" w:rsidP="00010293">
      <w:pPr>
        <w:spacing w:after="0" w:line="240" w:lineRule="auto"/>
        <w:jc w:val="center"/>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P</w:t>
      </w:r>
      <w:r w:rsidRPr="00723A47">
        <w:rPr>
          <w:rFonts w:ascii="Times New Roman" w:eastAsia="Times New Roman" w:hAnsi="Times New Roman" w:cs="Times New Roman"/>
          <w:b/>
          <w:bCs/>
          <w:sz w:val="24"/>
          <w:szCs w:val="24"/>
          <w:lang w:val="ro-MD"/>
        </w:rPr>
        <w:t>entru aprobarea Regulamentului cu privire la tratamentul</w:t>
      </w:r>
    </w:p>
    <w:p w14:paraId="32393929" w14:textId="77777777" w:rsidR="00010293" w:rsidRPr="00723A47" w:rsidRDefault="00010293" w:rsidP="00010293">
      <w:pPr>
        <w:spacing w:after="0" w:line="240" w:lineRule="auto"/>
        <w:jc w:val="center"/>
        <w:rPr>
          <w:rFonts w:ascii="Times New Roman" w:eastAsia="Times New Roman" w:hAnsi="Times New Roman" w:cs="Times New Roman"/>
          <w:b/>
          <w:bCs/>
          <w:sz w:val="24"/>
          <w:szCs w:val="24"/>
          <w:lang w:val="ro-MD"/>
        </w:rPr>
      </w:pPr>
      <w:r w:rsidRPr="00723A47">
        <w:rPr>
          <w:rFonts w:ascii="Times New Roman" w:eastAsia="Times New Roman" w:hAnsi="Times New Roman" w:cs="Times New Roman"/>
          <w:b/>
          <w:bCs/>
          <w:sz w:val="24"/>
          <w:szCs w:val="24"/>
          <w:lang w:val="ro-MD"/>
        </w:rPr>
        <w:t> riscului de credit al contrapărţii pentru bănci</w:t>
      </w:r>
    </w:p>
    <w:p w14:paraId="71F930D0" w14:textId="5852B3A8"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0F6FD4B1"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În temeiul art.27 alin.(1) lit.c), art.44 lit.a) din Legea nr.548/1995 cu privire la Banca Națională a Moldovei (republicată în Monitorul Oficial al Republicii Moldova, 2015, nr.297-300, art.544), cu modificările ulterioare, art.60 alin.(4) şi art.73 alin.(1) din Legea nr.202/2017 privind activitatea băncilor (Monitorul Oficial al Republicii Moldova, 2017, nr.434-439, art.727), Comitetul executiv al Băncii Naţionale a Moldovei</w:t>
      </w:r>
    </w:p>
    <w:p w14:paraId="503F541B" w14:textId="77777777" w:rsidR="00A718BE" w:rsidRPr="00723A47" w:rsidRDefault="00A718BE" w:rsidP="00A718BE">
      <w:pPr>
        <w:spacing w:after="0" w:line="240" w:lineRule="auto"/>
        <w:jc w:val="center"/>
        <w:rPr>
          <w:rFonts w:ascii="Times New Roman" w:eastAsia="Times New Roman" w:hAnsi="Times New Roman" w:cs="Times New Roman"/>
          <w:b/>
          <w:bCs/>
          <w:sz w:val="24"/>
          <w:szCs w:val="24"/>
          <w:lang w:val="ro-MD"/>
        </w:rPr>
      </w:pPr>
    </w:p>
    <w:p w14:paraId="288A666D" w14:textId="77777777" w:rsidR="00A718BE" w:rsidRPr="00723A47" w:rsidRDefault="00A718BE" w:rsidP="00A718BE">
      <w:pPr>
        <w:spacing w:after="0" w:line="240" w:lineRule="auto"/>
        <w:jc w:val="center"/>
        <w:rPr>
          <w:rFonts w:ascii="Times New Roman" w:eastAsia="Times New Roman" w:hAnsi="Times New Roman" w:cs="Times New Roman"/>
          <w:b/>
          <w:bCs/>
          <w:sz w:val="24"/>
          <w:szCs w:val="24"/>
          <w:lang w:val="ro-MD"/>
        </w:rPr>
      </w:pPr>
      <w:r w:rsidRPr="00723A47">
        <w:rPr>
          <w:rFonts w:ascii="Times New Roman" w:eastAsia="Times New Roman" w:hAnsi="Times New Roman" w:cs="Times New Roman"/>
          <w:b/>
          <w:bCs/>
          <w:sz w:val="24"/>
          <w:szCs w:val="24"/>
          <w:lang w:val="ro-MD"/>
        </w:rPr>
        <w:t>HOTĂRĂŞTE:</w:t>
      </w:r>
    </w:p>
    <w:p w14:paraId="60883C89" w14:textId="77777777" w:rsidR="00A718BE" w:rsidRPr="00723A47" w:rsidRDefault="00A718BE" w:rsidP="00A718BE">
      <w:pPr>
        <w:spacing w:after="0" w:line="240" w:lineRule="auto"/>
        <w:jc w:val="center"/>
        <w:rPr>
          <w:rFonts w:ascii="Times New Roman" w:eastAsia="Times New Roman" w:hAnsi="Times New Roman" w:cs="Times New Roman"/>
          <w:b/>
          <w:bCs/>
          <w:sz w:val="24"/>
          <w:szCs w:val="24"/>
          <w:lang w:val="ro-MD"/>
        </w:rPr>
      </w:pPr>
    </w:p>
    <w:p w14:paraId="658744E9" w14:textId="70FC519E" w:rsidR="00A718BE" w:rsidRPr="00CC3BD5" w:rsidRDefault="00A718BE" w:rsidP="00CC3BD5">
      <w:pPr>
        <w:pStyle w:val="ListParagraph"/>
        <w:numPr>
          <w:ilvl w:val="0"/>
          <w:numId w:val="1"/>
        </w:numPr>
        <w:spacing w:after="0" w:line="240" w:lineRule="auto"/>
        <w:jc w:val="both"/>
        <w:rPr>
          <w:rFonts w:ascii="Times New Roman" w:eastAsia="Times New Roman" w:hAnsi="Times New Roman" w:cs="Times New Roman"/>
          <w:sz w:val="24"/>
          <w:szCs w:val="24"/>
          <w:lang w:val="ro-MD"/>
        </w:rPr>
      </w:pPr>
      <w:r w:rsidRPr="00CC3BD5">
        <w:rPr>
          <w:rFonts w:ascii="Times New Roman" w:eastAsia="Times New Roman" w:hAnsi="Times New Roman" w:cs="Times New Roman"/>
          <w:sz w:val="24"/>
          <w:szCs w:val="24"/>
          <w:lang w:val="ro-MD"/>
        </w:rPr>
        <w:t>Se aprobă Regulamentul cu privire la tratamentul riscului de credit al contrapărţii pentru bănci (se anexează).</w:t>
      </w:r>
    </w:p>
    <w:p w14:paraId="282D6805" w14:textId="4F64A3DF" w:rsidR="00CC3BD5" w:rsidRPr="00CC3BD5" w:rsidRDefault="00CC3BD5" w:rsidP="00CC3BD5">
      <w:pPr>
        <w:pStyle w:val="ListParagraph"/>
        <w:numPr>
          <w:ilvl w:val="0"/>
          <w:numId w:val="1"/>
        </w:num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Se abrogă </w:t>
      </w:r>
      <w:r w:rsidRPr="00CC3BD5">
        <w:rPr>
          <w:rFonts w:ascii="Times New Roman" w:eastAsia="Times New Roman" w:hAnsi="Times New Roman" w:cs="Times New Roman"/>
          <w:sz w:val="24"/>
          <w:szCs w:val="24"/>
          <w:lang w:val="ro-MD"/>
        </w:rPr>
        <w:t xml:space="preserve">Regulamentul </w:t>
      </w:r>
      <w:r>
        <w:rPr>
          <w:rFonts w:ascii="Times New Roman" w:eastAsia="Times New Roman" w:hAnsi="Times New Roman" w:cs="Times New Roman"/>
          <w:sz w:val="24"/>
          <w:szCs w:val="24"/>
          <w:lang w:val="ro-MD"/>
        </w:rPr>
        <w:t xml:space="preserve">nr. 102/2020 </w:t>
      </w:r>
      <w:r w:rsidRPr="00CC3BD5">
        <w:rPr>
          <w:rFonts w:ascii="Times New Roman" w:eastAsia="Times New Roman" w:hAnsi="Times New Roman" w:cs="Times New Roman"/>
          <w:sz w:val="24"/>
          <w:szCs w:val="24"/>
          <w:lang w:val="ro-MD"/>
        </w:rPr>
        <w:t>cu privire la tratamentul riscului de credit al contrapărţii pentru bănci</w:t>
      </w:r>
      <w:r>
        <w:rPr>
          <w:rFonts w:ascii="Times New Roman" w:eastAsia="Times New Roman" w:hAnsi="Times New Roman" w:cs="Times New Roman"/>
          <w:sz w:val="24"/>
          <w:szCs w:val="24"/>
          <w:lang w:val="ro-MD"/>
        </w:rPr>
        <w:t xml:space="preserve">. </w:t>
      </w:r>
    </w:p>
    <w:p w14:paraId="116B8320" w14:textId="3FFE1AF0" w:rsidR="00A718BE" w:rsidRPr="00723A47" w:rsidRDefault="00CC3BD5" w:rsidP="00A718BE">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3</w:t>
      </w:r>
      <w:r w:rsidR="00A718BE" w:rsidRPr="00723A47">
        <w:rPr>
          <w:rFonts w:ascii="Times New Roman" w:eastAsia="Times New Roman" w:hAnsi="Times New Roman" w:cs="Times New Roman"/>
          <w:b/>
          <w:bCs/>
          <w:sz w:val="24"/>
          <w:szCs w:val="24"/>
          <w:lang w:val="ro-MD"/>
        </w:rPr>
        <w:t>.</w:t>
      </w:r>
      <w:r w:rsidR="00A718BE" w:rsidRPr="00723A47">
        <w:rPr>
          <w:rFonts w:ascii="Times New Roman" w:eastAsia="Times New Roman" w:hAnsi="Times New Roman" w:cs="Times New Roman"/>
          <w:sz w:val="24"/>
          <w:szCs w:val="24"/>
          <w:lang w:val="ro-MD"/>
        </w:rPr>
        <w:t xml:space="preserve"> </w:t>
      </w:r>
      <w:r w:rsidR="00B65A8D" w:rsidRPr="00B65A8D">
        <w:rPr>
          <w:rFonts w:ascii="Times New Roman" w:eastAsia="Times New Roman" w:hAnsi="Times New Roman" w:cs="Times New Roman"/>
          <w:sz w:val="24"/>
          <w:szCs w:val="24"/>
          <w:lang w:val="ro-MD"/>
        </w:rPr>
        <w:t>Prezenta hotărâre intră în vigoare la expirarea termenului de o lună de la data publicării în Monitorul Oficial al Republicii Moldova.</w:t>
      </w:r>
    </w:p>
    <w:p w14:paraId="64922C5A"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56BC6EB5"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7E2F03A3"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 </w:t>
      </w:r>
    </w:p>
    <w:p w14:paraId="6CAB7714"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090425A4"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7F24C34A" w14:textId="77777777" w:rsidR="00A718BE" w:rsidRPr="0059573B" w:rsidRDefault="00A718BE"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4064EF5C" w14:textId="77777777" w:rsidR="00A718BE" w:rsidRPr="0059573B" w:rsidRDefault="00A718BE"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7B3F7176" w14:textId="77777777" w:rsidR="00A718BE" w:rsidRDefault="00A718BE"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1EB66D3A" w14:textId="77777777" w:rsidR="00010293" w:rsidRDefault="0001029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40875219" w14:textId="77777777" w:rsidR="00010293" w:rsidRDefault="0001029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240166E5" w14:textId="77777777" w:rsidR="00010293" w:rsidRPr="0059573B" w:rsidRDefault="0001029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4BF0C24A" w14:textId="77777777" w:rsidR="003F3E07" w:rsidRDefault="003F3E07"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0C529337"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5F26E34D"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5D7F6534"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540AB36E"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42FE481B"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7D9FBBC9"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748D758E" w14:textId="77777777" w:rsidR="006E2723"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492ACFAF" w14:textId="77777777" w:rsidR="006E2723" w:rsidRPr="0059573B" w:rsidRDefault="006E2723"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6E5A65A0" w14:textId="77777777" w:rsidR="00A718BE" w:rsidRPr="0059573B" w:rsidRDefault="00A718BE" w:rsidP="00A718BE">
      <w:pPr>
        <w:spacing w:after="0" w:line="240" w:lineRule="auto"/>
        <w:ind w:firstLine="567"/>
        <w:jc w:val="both"/>
        <w:rPr>
          <w:rFonts w:ascii="Times New Roman" w:eastAsia="Times New Roman" w:hAnsi="Times New Roman" w:cs="Times New Roman"/>
          <w:sz w:val="24"/>
          <w:szCs w:val="24"/>
          <w:highlight w:val="yellow"/>
          <w:lang w:val="ro-MD"/>
        </w:rPr>
      </w:pPr>
    </w:p>
    <w:p w14:paraId="1CF995AD"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2DEFCCB7"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p>
    <w:p w14:paraId="638D4B2A" w14:textId="77777777" w:rsidR="00A718BE" w:rsidRPr="00723A47" w:rsidRDefault="00A718BE" w:rsidP="00A718BE">
      <w:pPr>
        <w:spacing w:after="0" w:line="240" w:lineRule="auto"/>
        <w:jc w:val="right"/>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lastRenderedPageBreak/>
        <w:t>Aprobat</w:t>
      </w:r>
    </w:p>
    <w:p w14:paraId="3E897D6C" w14:textId="77777777" w:rsidR="00A718BE" w:rsidRPr="00723A47" w:rsidRDefault="00A718BE" w:rsidP="00A718BE">
      <w:pPr>
        <w:spacing w:after="0" w:line="240" w:lineRule="auto"/>
        <w:jc w:val="right"/>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prin Hotărârea Comitetului executiv</w:t>
      </w:r>
    </w:p>
    <w:p w14:paraId="3B9D790B" w14:textId="77777777" w:rsidR="00A718BE" w:rsidRPr="00723A47" w:rsidRDefault="00A718BE" w:rsidP="00A718BE">
      <w:pPr>
        <w:spacing w:after="0" w:line="240" w:lineRule="auto"/>
        <w:jc w:val="right"/>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al Băncii Naţionale a Moldovei</w:t>
      </w:r>
    </w:p>
    <w:p w14:paraId="2339688D" w14:textId="3898A38D" w:rsidR="00A718BE" w:rsidRPr="00723A47" w:rsidRDefault="00A718BE" w:rsidP="00A718BE">
      <w:pPr>
        <w:spacing w:after="0" w:line="240" w:lineRule="auto"/>
        <w:jc w:val="right"/>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nr.</w:t>
      </w:r>
      <w:r w:rsidR="00EF0454">
        <w:rPr>
          <w:rFonts w:ascii="Times New Roman" w:eastAsia="Times New Roman" w:hAnsi="Times New Roman" w:cs="Times New Roman"/>
          <w:sz w:val="24"/>
          <w:szCs w:val="24"/>
          <w:lang w:val="ro-MD"/>
        </w:rPr>
        <w:t>__</w:t>
      </w:r>
      <w:r w:rsidRPr="00723A47">
        <w:rPr>
          <w:rFonts w:ascii="Times New Roman" w:eastAsia="Times New Roman" w:hAnsi="Times New Roman" w:cs="Times New Roman"/>
          <w:sz w:val="24"/>
          <w:szCs w:val="24"/>
          <w:lang w:val="ro-MD"/>
        </w:rPr>
        <w:t xml:space="preserve"> din </w:t>
      </w:r>
      <w:r w:rsidR="00EF0454">
        <w:rPr>
          <w:rFonts w:ascii="Times New Roman" w:eastAsia="Times New Roman" w:hAnsi="Times New Roman" w:cs="Times New Roman"/>
          <w:sz w:val="24"/>
          <w:szCs w:val="24"/>
          <w:lang w:val="ro-MD"/>
        </w:rPr>
        <w:t>________</w:t>
      </w:r>
    </w:p>
    <w:p w14:paraId="6C6C9C9F" w14:textId="77777777" w:rsidR="00A718BE" w:rsidRPr="00723A47" w:rsidRDefault="00A718BE" w:rsidP="00A718BE">
      <w:pPr>
        <w:spacing w:after="0" w:line="240" w:lineRule="auto"/>
        <w:ind w:firstLine="567"/>
        <w:jc w:val="both"/>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 </w:t>
      </w:r>
    </w:p>
    <w:p w14:paraId="1DC170D5" w14:textId="77777777" w:rsidR="003F3E07" w:rsidRPr="00723A47" w:rsidRDefault="003F3E07" w:rsidP="00A718BE">
      <w:pPr>
        <w:spacing w:after="0" w:line="240" w:lineRule="auto"/>
        <w:ind w:firstLine="567"/>
        <w:jc w:val="both"/>
        <w:rPr>
          <w:rFonts w:ascii="Times New Roman" w:eastAsia="Times New Roman" w:hAnsi="Times New Roman" w:cs="Times New Roman"/>
          <w:sz w:val="24"/>
          <w:szCs w:val="24"/>
          <w:lang w:val="ro-MD"/>
        </w:rPr>
      </w:pPr>
    </w:p>
    <w:p w14:paraId="2112529A" w14:textId="77777777" w:rsidR="00A718BE" w:rsidRPr="00723A47" w:rsidRDefault="00A718BE" w:rsidP="00A718BE">
      <w:pPr>
        <w:spacing w:after="0" w:line="240" w:lineRule="auto"/>
        <w:jc w:val="center"/>
        <w:rPr>
          <w:rFonts w:ascii="Times New Roman" w:eastAsia="Times New Roman" w:hAnsi="Times New Roman" w:cs="Times New Roman"/>
          <w:sz w:val="24"/>
          <w:szCs w:val="24"/>
          <w:lang w:val="ro-MD"/>
        </w:rPr>
      </w:pPr>
      <w:r w:rsidRPr="00723A47">
        <w:rPr>
          <w:rFonts w:ascii="Times New Roman" w:eastAsia="Times New Roman" w:hAnsi="Times New Roman" w:cs="Times New Roman"/>
          <w:b/>
          <w:bCs/>
          <w:sz w:val="24"/>
          <w:szCs w:val="24"/>
          <w:lang w:val="ro-MD"/>
        </w:rPr>
        <w:t>REGULAMENT</w:t>
      </w:r>
    </w:p>
    <w:p w14:paraId="56F7B2C3" w14:textId="77777777" w:rsidR="00A718BE" w:rsidRPr="00723A47" w:rsidRDefault="00A718BE" w:rsidP="00A718BE">
      <w:pPr>
        <w:spacing w:after="0" w:line="240" w:lineRule="auto"/>
        <w:jc w:val="center"/>
        <w:rPr>
          <w:rFonts w:ascii="Times New Roman" w:eastAsia="Times New Roman" w:hAnsi="Times New Roman" w:cs="Times New Roman"/>
          <w:sz w:val="24"/>
          <w:szCs w:val="24"/>
          <w:lang w:val="ro-MD"/>
        </w:rPr>
      </w:pPr>
      <w:r w:rsidRPr="00723A47">
        <w:rPr>
          <w:rFonts w:ascii="Times New Roman" w:eastAsia="Times New Roman" w:hAnsi="Times New Roman" w:cs="Times New Roman"/>
          <w:b/>
          <w:bCs/>
          <w:sz w:val="24"/>
          <w:szCs w:val="24"/>
          <w:lang w:val="ro-MD"/>
        </w:rPr>
        <w:t>cu privire la tratamentul riscului de credit</w:t>
      </w:r>
    </w:p>
    <w:p w14:paraId="7791D45A" w14:textId="77777777" w:rsidR="00A718BE" w:rsidRPr="00723A47" w:rsidRDefault="00A718BE" w:rsidP="00A718BE">
      <w:pPr>
        <w:spacing w:after="0" w:line="240" w:lineRule="auto"/>
        <w:jc w:val="center"/>
        <w:rPr>
          <w:rFonts w:ascii="Times New Roman" w:eastAsia="Times New Roman" w:hAnsi="Times New Roman" w:cs="Times New Roman"/>
          <w:b/>
          <w:bCs/>
          <w:sz w:val="24"/>
          <w:szCs w:val="24"/>
          <w:lang w:val="ro-MD"/>
        </w:rPr>
      </w:pPr>
      <w:r w:rsidRPr="00723A47">
        <w:rPr>
          <w:rFonts w:ascii="Times New Roman" w:eastAsia="Times New Roman" w:hAnsi="Times New Roman" w:cs="Times New Roman"/>
          <w:b/>
          <w:bCs/>
          <w:sz w:val="24"/>
          <w:szCs w:val="24"/>
          <w:lang w:val="ro-MD"/>
        </w:rPr>
        <w:t>al contrapărţii pentru bănci</w:t>
      </w:r>
    </w:p>
    <w:p w14:paraId="308C8804" w14:textId="77777777" w:rsidR="00A718BE" w:rsidRPr="00723A47" w:rsidRDefault="00A718BE" w:rsidP="00A718BE">
      <w:pPr>
        <w:spacing w:after="0" w:line="240" w:lineRule="auto"/>
        <w:jc w:val="center"/>
        <w:rPr>
          <w:rFonts w:ascii="Times New Roman" w:eastAsia="Times New Roman" w:hAnsi="Times New Roman" w:cs="Times New Roman"/>
          <w:sz w:val="24"/>
          <w:szCs w:val="24"/>
          <w:lang w:val="ro-MD"/>
        </w:rPr>
      </w:pPr>
    </w:p>
    <w:p w14:paraId="1A4ADD18" w14:textId="3D897DDA"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E87373">
        <w:rPr>
          <w:rFonts w:ascii="Times New Roman" w:eastAsia="Times New Roman" w:hAnsi="Times New Roman" w:cs="Times New Roman"/>
          <w:sz w:val="24"/>
          <w:szCs w:val="24"/>
          <w:lang w:val="ro-MD"/>
        </w:rPr>
        <w:t>Prezentul regulament transpune art.4 (1), pct.3</w:t>
      </w:r>
      <w:r w:rsidR="00D27745" w:rsidRPr="00E87373">
        <w:rPr>
          <w:rFonts w:ascii="Times New Roman" w:eastAsia="Times New Roman" w:hAnsi="Times New Roman" w:cs="Times New Roman"/>
          <w:sz w:val="24"/>
          <w:szCs w:val="24"/>
          <w:lang w:val="ro-MD"/>
        </w:rPr>
        <w:t>5</w:t>
      </w:r>
      <w:r w:rsidRPr="00E87373">
        <w:rPr>
          <w:rFonts w:ascii="Times New Roman" w:eastAsia="Times New Roman" w:hAnsi="Times New Roman" w:cs="Times New Roman"/>
          <w:sz w:val="24"/>
          <w:szCs w:val="24"/>
          <w:lang w:val="ro-MD"/>
        </w:rPr>
        <w:t>; art.271; art.272, pct.</w:t>
      </w:r>
      <w:r w:rsidR="00746247" w:rsidRPr="00E87373">
        <w:rPr>
          <w:rFonts w:ascii="Times New Roman" w:eastAsia="Times New Roman" w:hAnsi="Times New Roman" w:cs="Times New Roman"/>
          <w:sz w:val="24"/>
          <w:szCs w:val="24"/>
          <w:lang w:val="ro-MD"/>
        </w:rPr>
        <w:t>1</w:t>
      </w:r>
      <w:r w:rsidRPr="00E87373">
        <w:rPr>
          <w:rFonts w:ascii="Times New Roman" w:eastAsia="Times New Roman" w:hAnsi="Times New Roman" w:cs="Times New Roman"/>
          <w:sz w:val="24"/>
          <w:szCs w:val="24"/>
          <w:lang w:val="ro-MD"/>
        </w:rPr>
        <w:t>-</w:t>
      </w:r>
      <w:r w:rsidR="00746247" w:rsidRPr="00E87373">
        <w:rPr>
          <w:rFonts w:ascii="Times New Roman" w:eastAsia="Times New Roman" w:hAnsi="Times New Roman" w:cs="Times New Roman"/>
          <w:sz w:val="24"/>
          <w:szCs w:val="24"/>
          <w:lang w:val="ro-MD"/>
        </w:rPr>
        <w:t>9</w:t>
      </w:r>
      <w:r w:rsidRPr="00E87373">
        <w:rPr>
          <w:rFonts w:ascii="Times New Roman" w:eastAsia="Times New Roman" w:hAnsi="Times New Roman" w:cs="Times New Roman"/>
          <w:sz w:val="24"/>
          <w:szCs w:val="24"/>
          <w:lang w:val="ro-MD"/>
        </w:rPr>
        <w:t xml:space="preserve">, 12, </w:t>
      </w:r>
      <w:r w:rsidR="00D27745" w:rsidRPr="00E87373">
        <w:rPr>
          <w:rFonts w:ascii="Times New Roman" w:eastAsia="Times New Roman" w:hAnsi="Times New Roman" w:cs="Times New Roman"/>
          <w:sz w:val="24"/>
          <w:szCs w:val="24"/>
          <w:lang w:val="ro-MD"/>
        </w:rPr>
        <w:t xml:space="preserve">12a, </w:t>
      </w:r>
      <w:r w:rsidRPr="00E87373">
        <w:rPr>
          <w:rFonts w:ascii="Times New Roman" w:eastAsia="Times New Roman" w:hAnsi="Times New Roman" w:cs="Times New Roman"/>
          <w:sz w:val="24"/>
          <w:szCs w:val="24"/>
          <w:lang w:val="ro-MD"/>
        </w:rPr>
        <w:t>24</w:t>
      </w:r>
      <w:r w:rsidR="00D27745" w:rsidRPr="00E87373">
        <w:rPr>
          <w:rFonts w:ascii="Times New Roman" w:eastAsia="Times New Roman" w:hAnsi="Times New Roman" w:cs="Times New Roman"/>
          <w:sz w:val="24"/>
          <w:szCs w:val="24"/>
          <w:lang w:val="ro-MD"/>
        </w:rPr>
        <w:t xml:space="preserve"> și </w:t>
      </w:r>
      <w:r w:rsidRPr="00E87373">
        <w:rPr>
          <w:rFonts w:ascii="Times New Roman" w:eastAsia="Times New Roman" w:hAnsi="Times New Roman" w:cs="Times New Roman"/>
          <w:sz w:val="24"/>
          <w:szCs w:val="24"/>
          <w:lang w:val="ro-MD"/>
        </w:rPr>
        <w:t>26; art.273</w:t>
      </w:r>
      <w:r w:rsidR="00F51938" w:rsidRPr="00E87373">
        <w:rPr>
          <w:rFonts w:ascii="Times New Roman" w:eastAsia="Times New Roman" w:hAnsi="Times New Roman" w:cs="Times New Roman"/>
          <w:sz w:val="24"/>
          <w:szCs w:val="24"/>
          <w:lang w:val="ro-MD"/>
        </w:rPr>
        <w:t xml:space="preserve"> alin.</w:t>
      </w:r>
      <w:r w:rsidRPr="00E87373">
        <w:rPr>
          <w:rFonts w:ascii="Times New Roman" w:eastAsia="Times New Roman" w:hAnsi="Times New Roman" w:cs="Times New Roman"/>
          <w:sz w:val="24"/>
          <w:szCs w:val="24"/>
          <w:lang w:val="ro-MD"/>
        </w:rPr>
        <w:t xml:space="preserve"> (1), </w:t>
      </w:r>
      <w:r w:rsidR="00F51938" w:rsidRPr="00E87373">
        <w:rPr>
          <w:rFonts w:ascii="Times New Roman" w:eastAsia="Times New Roman" w:hAnsi="Times New Roman" w:cs="Times New Roman"/>
          <w:sz w:val="24"/>
          <w:szCs w:val="24"/>
          <w:lang w:val="ro-MD"/>
        </w:rPr>
        <w:t xml:space="preserve">alin. </w:t>
      </w:r>
      <w:r w:rsidRPr="00E87373">
        <w:rPr>
          <w:rFonts w:ascii="Times New Roman" w:eastAsia="Times New Roman" w:hAnsi="Times New Roman" w:cs="Times New Roman"/>
          <w:sz w:val="24"/>
          <w:szCs w:val="24"/>
          <w:lang w:val="ro-MD"/>
        </w:rPr>
        <w:t>(3)-(</w:t>
      </w:r>
      <w:r w:rsidR="00F51938" w:rsidRPr="00E87373">
        <w:rPr>
          <w:rFonts w:ascii="Times New Roman" w:eastAsia="Times New Roman" w:hAnsi="Times New Roman" w:cs="Times New Roman"/>
          <w:sz w:val="24"/>
          <w:szCs w:val="24"/>
          <w:lang w:val="ro-MD"/>
        </w:rPr>
        <w:t>9</w:t>
      </w:r>
      <w:r w:rsidRPr="00E87373">
        <w:rPr>
          <w:rFonts w:ascii="Times New Roman" w:eastAsia="Times New Roman" w:hAnsi="Times New Roman" w:cs="Times New Roman"/>
          <w:sz w:val="24"/>
          <w:szCs w:val="24"/>
          <w:lang w:val="ro-MD"/>
        </w:rPr>
        <w:t>); art.27</w:t>
      </w:r>
      <w:r w:rsidR="00F51938" w:rsidRPr="00E87373">
        <w:rPr>
          <w:rFonts w:ascii="Times New Roman" w:eastAsia="Times New Roman" w:hAnsi="Times New Roman" w:cs="Times New Roman"/>
          <w:sz w:val="24"/>
          <w:szCs w:val="24"/>
          <w:lang w:val="ro-MD"/>
        </w:rPr>
        <w:t>3a</w:t>
      </w:r>
      <w:r w:rsidRPr="00E87373">
        <w:rPr>
          <w:rFonts w:ascii="Times New Roman" w:eastAsia="Times New Roman" w:hAnsi="Times New Roman" w:cs="Times New Roman"/>
          <w:sz w:val="24"/>
          <w:szCs w:val="24"/>
          <w:lang w:val="ro-MD"/>
        </w:rPr>
        <w:t>-2</w:t>
      </w:r>
      <w:r w:rsidR="00F51938" w:rsidRPr="00E87373">
        <w:rPr>
          <w:rFonts w:ascii="Times New Roman" w:eastAsia="Times New Roman" w:hAnsi="Times New Roman" w:cs="Times New Roman"/>
          <w:sz w:val="24"/>
          <w:szCs w:val="24"/>
          <w:lang w:val="ro-MD"/>
        </w:rPr>
        <w:t>76</w:t>
      </w:r>
      <w:r w:rsidRPr="00E87373">
        <w:rPr>
          <w:rFonts w:ascii="Times New Roman" w:eastAsia="Times New Roman" w:hAnsi="Times New Roman" w:cs="Times New Roman"/>
          <w:sz w:val="24"/>
          <w:szCs w:val="24"/>
          <w:lang w:val="ro-MD"/>
        </w:rPr>
        <w:t xml:space="preserve">; </w:t>
      </w:r>
      <w:r w:rsidR="00F51938" w:rsidRPr="00E87373">
        <w:rPr>
          <w:rFonts w:ascii="Times New Roman" w:eastAsia="Times New Roman" w:hAnsi="Times New Roman" w:cs="Times New Roman"/>
          <w:sz w:val="24"/>
          <w:szCs w:val="24"/>
          <w:lang w:val="ro-MD"/>
        </w:rPr>
        <w:t xml:space="preserve">art.277 alin. (1)-(4); art.277a-279; art.279a alin (1)-(3); art.279b alin.(1) lit.a), alin.(2); art.279c-280f; art.281 alin.(1), alin. (2) lit. a), b, d)-m); art.282 alin. (1), alin. (2), alin. (3) lit b), alin. (4); </w:t>
      </w:r>
      <w:r w:rsidRPr="00E87373">
        <w:rPr>
          <w:rFonts w:ascii="Times New Roman" w:eastAsia="Times New Roman" w:hAnsi="Times New Roman" w:cs="Times New Roman"/>
          <w:sz w:val="24"/>
          <w:szCs w:val="24"/>
          <w:lang w:val="ro-MD"/>
        </w:rPr>
        <w:t>art.295</w:t>
      </w:r>
      <w:r w:rsidR="00F51938" w:rsidRPr="00E87373">
        <w:rPr>
          <w:rFonts w:ascii="Times New Roman" w:eastAsia="Times New Roman" w:hAnsi="Times New Roman" w:cs="Times New Roman"/>
          <w:sz w:val="24"/>
          <w:szCs w:val="24"/>
          <w:lang w:val="ro-MD"/>
        </w:rPr>
        <w:t xml:space="preserve"> li. a) și b); art.296 alin (2), alin. (3), art.297 alin. (1)-(3); art.</w:t>
      </w:r>
      <w:r w:rsidRPr="00E87373">
        <w:rPr>
          <w:rFonts w:ascii="Times New Roman" w:eastAsia="Times New Roman" w:hAnsi="Times New Roman" w:cs="Times New Roman"/>
          <w:sz w:val="24"/>
          <w:szCs w:val="24"/>
          <w:lang w:val="ro-MD"/>
        </w:rPr>
        <w:t>29</w:t>
      </w:r>
      <w:r w:rsidR="00F51938" w:rsidRPr="00E87373">
        <w:rPr>
          <w:rFonts w:ascii="Times New Roman" w:eastAsia="Times New Roman" w:hAnsi="Times New Roman" w:cs="Times New Roman"/>
          <w:sz w:val="24"/>
          <w:szCs w:val="24"/>
          <w:lang w:val="ro-MD"/>
        </w:rPr>
        <w:t>8</w:t>
      </w:r>
      <w:r w:rsidRPr="00E87373">
        <w:rPr>
          <w:rFonts w:ascii="Times New Roman" w:eastAsia="Times New Roman" w:hAnsi="Times New Roman" w:cs="Times New Roman"/>
          <w:sz w:val="24"/>
          <w:szCs w:val="24"/>
          <w:lang w:val="ro-MD"/>
        </w:rPr>
        <w:t xml:space="preserve">; </w:t>
      </w:r>
      <w:r w:rsidR="00F51938" w:rsidRPr="00E87373">
        <w:rPr>
          <w:rFonts w:ascii="Times New Roman" w:eastAsia="Times New Roman" w:hAnsi="Times New Roman" w:cs="Times New Roman"/>
          <w:sz w:val="24"/>
          <w:szCs w:val="24"/>
          <w:lang w:val="ro-MD"/>
        </w:rPr>
        <w:t xml:space="preserve">art.299; </w:t>
      </w:r>
      <w:r w:rsidRPr="00E87373">
        <w:rPr>
          <w:rFonts w:ascii="Times New Roman" w:eastAsia="Times New Roman" w:hAnsi="Times New Roman" w:cs="Times New Roman"/>
          <w:sz w:val="24"/>
          <w:szCs w:val="24"/>
          <w:lang w:val="ro-MD"/>
        </w:rPr>
        <w:t xml:space="preserve">art.305 din Regulamentul (UE) nr.575/2013 al Parlamentului European şi al Consiliului din 26 iunie 2013 privind cerinţele prudenţiale pentru instituţiile de credit şi de modificare a Regulamentului (UE) nr.648/2012 </w:t>
      </w:r>
      <w:r w:rsidRPr="006F5B4C">
        <w:rPr>
          <w:rFonts w:ascii="Times New Roman" w:eastAsia="Times New Roman" w:hAnsi="Times New Roman" w:cs="Times New Roman"/>
          <w:sz w:val="24"/>
          <w:szCs w:val="24"/>
          <w:lang w:val="ro-MD"/>
        </w:rPr>
        <w:t>(Text cu relevanţă pentru SEE)</w:t>
      </w:r>
      <w:r w:rsidR="006F5B4C" w:rsidRPr="006F5B4C">
        <w:rPr>
          <w:rFonts w:ascii="Times New Roman" w:eastAsia="Times New Roman" w:hAnsi="Times New Roman" w:cs="Times New Roman"/>
          <w:sz w:val="24"/>
          <w:szCs w:val="24"/>
          <w:lang w:val="ro-MD"/>
        </w:rPr>
        <w:t>.</w:t>
      </w:r>
    </w:p>
    <w:p w14:paraId="45109AD0" w14:textId="0A6E436B" w:rsidR="00A718BE" w:rsidRPr="00A718BE" w:rsidRDefault="00A718BE" w:rsidP="006E2723">
      <w:pPr>
        <w:autoSpaceDE w:val="0"/>
        <w:autoSpaceDN w:val="0"/>
        <w:adjustRightInd w:val="0"/>
        <w:spacing w:after="0" w:line="240" w:lineRule="auto"/>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 </w:t>
      </w:r>
    </w:p>
    <w:p w14:paraId="29100723" w14:textId="77777777" w:rsidR="00A718BE" w:rsidRPr="00A718BE" w:rsidRDefault="00A718BE" w:rsidP="00A718BE">
      <w:pPr>
        <w:spacing w:after="0" w:line="240" w:lineRule="auto"/>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Capitolul I</w:t>
      </w:r>
    </w:p>
    <w:p w14:paraId="66EEA0EE" w14:textId="77777777" w:rsidR="00A718BE" w:rsidRPr="00A718BE" w:rsidRDefault="00A718BE" w:rsidP="00A718BE">
      <w:pPr>
        <w:spacing w:after="0" w:line="240" w:lineRule="auto"/>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DISPOZIŢII GENERALE</w:t>
      </w:r>
    </w:p>
    <w:p w14:paraId="6BA0B4C8"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 </w:t>
      </w:r>
    </w:p>
    <w:p w14:paraId="0F445332" w14:textId="77777777" w:rsidR="00A718BE" w:rsidRPr="00A718BE" w:rsidRDefault="00A718BE" w:rsidP="00A718BE">
      <w:pPr>
        <w:spacing w:after="0" w:line="240" w:lineRule="auto"/>
        <w:jc w:val="center"/>
        <w:rPr>
          <w:rFonts w:ascii="Times New Roman" w:eastAsia="Times New Roman" w:hAnsi="Times New Roman" w:cs="Times New Roman"/>
          <w:sz w:val="24"/>
          <w:szCs w:val="24"/>
          <w:lang w:val="ro-RO"/>
        </w:rPr>
      </w:pPr>
      <w:r w:rsidRPr="00A718BE">
        <w:rPr>
          <w:rFonts w:ascii="Times New Roman" w:eastAsia="Times New Roman" w:hAnsi="Times New Roman" w:cs="Times New Roman"/>
          <w:i/>
          <w:iCs/>
          <w:sz w:val="24"/>
          <w:szCs w:val="24"/>
          <w:lang w:val="ro-RO"/>
        </w:rPr>
        <w:t>Secţiunea 1</w:t>
      </w:r>
    </w:p>
    <w:p w14:paraId="4B38666D" w14:textId="77777777" w:rsidR="00A718BE" w:rsidRPr="00A718BE" w:rsidRDefault="00A718BE" w:rsidP="00A718BE">
      <w:pPr>
        <w:spacing w:after="0" w:line="240" w:lineRule="auto"/>
        <w:jc w:val="center"/>
        <w:rPr>
          <w:rFonts w:ascii="Times New Roman" w:eastAsia="Times New Roman" w:hAnsi="Times New Roman" w:cs="Times New Roman"/>
          <w:sz w:val="24"/>
          <w:szCs w:val="24"/>
          <w:lang w:val="ro-RO"/>
        </w:rPr>
      </w:pPr>
      <w:r w:rsidRPr="00A718BE">
        <w:rPr>
          <w:rFonts w:ascii="Times New Roman" w:eastAsia="Times New Roman" w:hAnsi="Times New Roman" w:cs="Times New Roman"/>
          <w:i/>
          <w:iCs/>
          <w:sz w:val="24"/>
          <w:szCs w:val="24"/>
          <w:lang w:val="ro-RO"/>
        </w:rPr>
        <w:t>Domeniu de aplicare şi noţiuni</w:t>
      </w:r>
    </w:p>
    <w:p w14:paraId="4DBE4574"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RO"/>
        </w:rPr>
      </w:pPr>
      <w:r w:rsidRPr="00A718BE">
        <w:rPr>
          <w:rFonts w:ascii="Times New Roman" w:eastAsia="Times New Roman" w:hAnsi="Times New Roman" w:cs="Times New Roman"/>
          <w:b/>
          <w:bCs/>
          <w:sz w:val="24"/>
          <w:szCs w:val="24"/>
          <w:lang w:val="ro-RO"/>
        </w:rPr>
        <w:t>1.</w:t>
      </w:r>
      <w:r w:rsidRPr="00A718BE">
        <w:rPr>
          <w:rFonts w:ascii="Times New Roman" w:eastAsia="Times New Roman" w:hAnsi="Times New Roman" w:cs="Times New Roman"/>
          <w:sz w:val="24"/>
          <w:szCs w:val="24"/>
          <w:lang w:val="ro-RO"/>
        </w:rPr>
        <w:t xml:space="preserve"> Prezentul regulament stabileşte metodologiile de determinare a cerinţelor de fonduri proprii pentru acoperirea riscului de credit al contrapărţii, şi anume:</w:t>
      </w:r>
    </w:p>
    <w:p w14:paraId="177B5586"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RO"/>
        </w:rPr>
      </w:pPr>
      <w:r w:rsidRPr="00A718BE">
        <w:rPr>
          <w:rFonts w:ascii="Times New Roman" w:eastAsia="Times New Roman" w:hAnsi="Times New Roman" w:cs="Times New Roman"/>
          <w:sz w:val="24"/>
          <w:szCs w:val="24"/>
          <w:lang w:val="ro-RO"/>
        </w:rPr>
        <w:t>1) regulile cu privire la tratamentul riscului de credit al contrapărţii în cazul instrumentelor financiare derivate, al tranzacţiilor cu termen lung de decontare;</w:t>
      </w:r>
    </w:p>
    <w:p w14:paraId="718CBC1C"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RO"/>
        </w:rPr>
      </w:pPr>
      <w:r w:rsidRPr="00A718BE">
        <w:rPr>
          <w:rFonts w:ascii="Times New Roman" w:eastAsia="Times New Roman" w:hAnsi="Times New Roman" w:cs="Times New Roman"/>
          <w:sz w:val="24"/>
          <w:szCs w:val="24"/>
          <w:lang w:val="ro-RO"/>
        </w:rPr>
        <w:t>2) principiile pe care băncile le vor respecta la calculul valorilor expunerilor ponderate la risc pentru riscul de contraparte ale elementelor din portofoliul de tranzacţionare.</w:t>
      </w:r>
    </w:p>
    <w:p w14:paraId="3F19747C"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RO"/>
        </w:rPr>
      </w:pPr>
      <w:r w:rsidRPr="00A718BE">
        <w:rPr>
          <w:rFonts w:ascii="Times New Roman" w:eastAsia="Times New Roman" w:hAnsi="Times New Roman" w:cs="Times New Roman"/>
          <w:b/>
          <w:bCs/>
          <w:sz w:val="24"/>
          <w:szCs w:val="24"/>
          <w:lang w:val="ro-RO"/>
        </w:rPr>
        <w:t>2.</w:t>
      </w:r>
      <w:r w:rsidRPr="00A718BE">
        <w:rPr>
          <w:rFonts w:ascii="Times New Roman" w:eastAsia="Times New Roman" w:hAnsi="Times New Roman" w:cs="Times New Roman"/>
          <w:sz w:val="24"/>
          <w:szCs w:val="24"/>
          <w:lang w:val="ro-RO"/>
        </w:rPr>
        <w:t xml:space="preserve"> Prezentul regulament se aplică băncilor cu sediul în Republica Moldova, precum şi sucursalelor în Republica Moldova ale băncilor din alte state, care sunt licenţiate de către Banca Naţională a Moldovei, denumite în continuare bănci.</w:t>
      </w:r>
    </w:p>
    <w:p w14:paraId="4E968BB1"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RO"/>
        </w:rPr>
      </w:pPr>
      <w:r w:rsidRPr="00A718BE">
        <w:rPr>
          <w:rFonts w:ascii="Times New Roman" w:eastAsia="Times New Roman" w:hAnsi="Times New Roman" w:cs="Times New Roman"/>
          <w:b/>
          <w:bCs/>
          <w:sz w:val="24"/>
          <w:szCs w:val="24"/>
          <w:lang w:val="ro-RO"/>
        </w:rPr>
        <w:t>3.</w:t>
      </w:r>
      <w:r w:rsidRPr="00A718BE">
        <w:rPr>
          <w:rFonts w:ascii="Times New Roman" w:eastAsia="Times New Roman" w:hAnsi="Times New Roman" w:cs="Times New Roman"/>
          <w:sz w:val="24"/>
          <w:szCs w:val="24"/>
          <w:lang w:val="ro-RO"/>
        </w:rPr>
        <w:t xml:space="preserve"> În sensul prezentului regulament se utilizează următoarele noţiuni:</w:t>
      </w:r>
    </w:p>
    <w:p w14:paraId="0079EC8E" w14:textId="552A2177" w:rsidR="00A718BE" w:rsidRDefault="00A718B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acord de compensare contractuală</w:t>
      </w:r>
      <w:r w:rsidRPr="00623501">
        <w:rPr>
          <w:rFonts w:ascii="Times New Roman" w:eastAsia="Times New Roman" w:hAnsi="Times New Roman" w:cs="Times New Roman"/>
          <w:sz w:val="24"/>
          <w:szCs w:val="24"/>
          <w:lang w:val="ro-RO"/>
        </w:rPr>
        <w:t xml:space="preserve"> </w:t>
      </w:r>
      <w:r w:rsidR="00C44B7E" w:rsidRPr="00623501">
        <w:rPr>
          <w:rFonts w:ascii="Times New Roman" w:eastAsia="Times New Roman" w:hAnsi="Times New Roman" w:cs="Times New Roman"/>
          <w:i/>
          <w:iCs/>
          <w:sz w:val="24"/>
          <w:szCs w:val="24"/>
          <w:lang w:val="ro-RO"/>
        </w:rPr>
        <w:t>între produse diferite</w:t>
      </w:r>
      <w:r w:rsidR="00C44B7E">
        <w:rPr>
          <w:rFonts w:ascii="Times New Roman" w:eastAsia="Times New Roman" w:hAnsi="Times New Roman" w:cs="Times New Roman"/>
          <w:sz w:val="24"/>
          <w:szCs w:val="24"/>
          <w:lang w:val="ro-RO"/>
        </w:rPr>
        <w:t xml:space="preserve"> </w:t>
      </w:r>
      <w:r w:rsidRPr="009C50CC">
        <w:rPr>
          <w:rFonts w:ascii="Times New Roman" w:eastAsia="Times New Roman" w:hAnsi="Times New Roman" w:cs="Times New Roman"/>
          <w:sz w:val="24"/>
          <w:szCs w:val="24"/>
          <w:lang w:val="ro-RO"/>
        </w:rPr>
        <w:t>- un acord contractual bilateral între o bancă şi o contraparte, care creează o obligaţie juridică unică (pe baza compensării tranzacţiilor acoperite) ce acoperă toate acordurile-cadru bilaterale şi toate tranzacţiile incluse în acest acord;</w:t>
      </w:r>
    </w:p>
    <w:p w14:paraId="22DEEC31" w14:textId="77777777" w:rsidR="0046270A" w:rsidRPr="00623501" w:rsidRDefault="0046270A" w:rsidP="0046270A">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contraparte centrală (CPC)</w:t>
      </w:r>
      <w:r w:rsidRPr="00623501">
        <w:rPr>
          <w:rFonts w:ascii="Times New Roman" w:eastAsia="Times New Roman" w:hAnsi="Times New Roman" w:cs="Times New Roman"/>
          <w:sz w:val="24"/>
          <w:szCs w:val="24"/>
          <w:lang w:val="ro-RO"/>
        </w:rPr>
        <w:t xml:space="preserve"> - o persoană juridică care se interpune între contrapărţile la contractele tranzacţionate pe una sau mai multe pieţe financiare, devenind astfel cumpărător pentru fiecare vânzător şi vânzător pentru fiecare cumpărător;</w:t>
      </w:r>
    </w:p>
    <w:p w14:paraId="41AA45DB" w14:textId="1DA2DCB2" w:rsidR="00FD566F" w:rsidRPr="00623501" w:rsidRDefault="00FD566F"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 xml:space="preserve">client </w:t>
      </w:r>
      <w:r w:rsidR="00040EB4" w:rsidRPr="00623501">
        <w:rPr>
          <w:rFonts w:ascii="Times New Roman" w:eastAsia="Times New Roman" w:hAnsi="Times New Roman" w:cs="Times New Roman"/>
          <w:sz w:val="24"/>
          <w:szCs w:val="24"/>
          <w:lang w:val="ro-RO"/>
        </w:rPr>
        <w:t xml:space="preserve">- </w:t>
      </w:r>
      <w:r w:rsidRPr="00623501">
        <w:rPr>
          <w:rFonts w:ascii="Times New Roman" w:eastAsia="Times New Roman" w:hAnsi="Times New Roman" w:cs="Times New Roman"/>
          <w:sz w:val="24"/>
          <w:szCs w:val="24"/>
          <w:lang w:val="ro-RO"/>
        </w:rPr>
        <w:t xml:space="preserve">o întreprindere a cărei relație contractuală cu un membru compensator al unei </w:t>
      </w:r>
      <w:r w:rsidRPr="00473E8D">
        <w:rPr>
          <w:rFonts w:ascii="Times New Roman" w:eastAsia="Times New Roman" w:hAnsi="Times New Roman" w:cs="Times New Roman"/>
          <w:sz w:val="24"/>
          <w:szCs w:val="24"/>
          <w:lang w:val="ro-RO"/>
        </w:rPr>
        <w:t>CPC</w:t>
      </w:r>
      <w:r w:rsidRPr="00623501">
        <w:rPr>
          <w:rFonts w:ascii="Times New Roman" w:eastAsia="Times New Roman" w:hAnsi="Times New Roman" w:cs="Times New Roman"/>
          <w:sz w:val="24"/>
          <w:szCs w:val="24"/>
          <w:lang w:val="ro-RO"/>
        </w:rPr>
        <w:t xml:space="preserve"> îi permite să își compenseze tranzacțiile prin CPC respectivă;</w:t>
      </w:r>
    </w:p>
    <w:p w14:paraId="2C555E16" w14:textId="78652909" w:rsidR="00D2531C" w:rsidRPr="00623501" w:rsidRDefault="00D2531C" w:rsidP="00D2531C">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client de nivel superior</w:t>
      </w:r>
      <w:r w:rsidRPr="00623501">
        <w:rPr>
          <w:rFonts w:ascii="Times New Roman" w:eastAsia="Times New Roman" w:hAnsi="Times New Roman" w:cs="Times New Roman"/>
          <w:sz w:val="24"/>
          <w:szCs w:val="24"/>
          <w:lang w:val="ro-RO"/>
        </w:rPr>
        <w:t xml:space="preserve"> - o entitate care furnizează servicii de compensare unui client de nivel inferior;</w:t>
      </w:r>
    </w:p>
    <w:p w14:paraId="5B38F33F" w14:textId="4EFC0BD1" w:rsidR="00D2531C" w:rsidRPr="00623501" w:rsidRDefault="00D2531C" w:rsidP="00D2531C">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client de nivel inferior</w:t>
      </w:r>
      <w:r w:rsidRPr="00623501">
        <w:rPr>
          <w:rFonts w:ascii="Times New Roman" w:eastAsia="Times New Roman" w:hAnsi="Times New Roman" w:cs="Times New Roman"/>
          <w:sz w:val="24"/>
          <w:szCs w:val="24"/>
          <w:lang w:val="ro-RO"/>
        </w:rPr>
        <w:t xml:space="preserve"> - o entitate care accesează serviciile unei CPC prin intermediul unui client de nivel superior;</w:t>
      </w:r>
    </w:p>
    <w:p w14:paraId="4190BF19" w14:textId="3A9D0B3D" w:rsidR="00E87DC6" w:rsidRPr="00623501" w:rsidRDefault="00E87DC6"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contract în marjă</w:t>
      </w:r>
      <w:r w:rsidRPr="00623501">
        <w:rPr>
          <w:rFonts w:ascii="Times New Roman" w:eastAsia="Times New Roman" w:hAnsi="Times New Roman" w:cs="Times New Roman"/>
          <w:sz w:val="24"/>
          <w:szCs w:val="24"/>
          <w:lang w:val="ro-RO"/>
        </w:rPr>
        <w:t xml:space="preserve"> - un acord sau dispoziţiile unui acord, conform căruia o contraparte trebuie să furnizeze garanţii reale unei a doua contrapărţi, atunci când o expunere a celei de-a doua contrapărţi faţă de prima contraparte depășește un nivel specificat;</w:t>
      </w:r>
    </w:p>
    <w:p w14:paraId="3BC82702" w14:textId="603702FA" w:rsidR="007C743C" w:rsidRDefault="007C743C"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lastRenderedPageBreak/>
        <w:t>contract în marjă într-un singur sens</w:t>
      </w:r>
      <w:r w:rsidRPr="00623501">
        <w:rPr>
          <w:rFonts w:ascii="Times New Roman" w:eastAsia="Times New Roman" w:hAnsi="Times New Roman" w:cs="Times New Roman"/>
          <w:sz w:val="24"/>
          <w:szCs w:val="24"/>
          <w:lang w:val="ro-RO"/>
        </w:rPr>
        <w:t xml:space="preserve"> - un contract în marjă conform căruia o banc</w:t>
      </w:r>
      <w:r w:rsidRPr="00623501">
        <w:rPr>
          <w:rFonts w:ascii="Times New Roman" w:eastAsia="Times New Roman" w:hAnsi="Times New Roman" w:cs="Times New Roman"/>
          <w:sz w:val="24"/>
          <w:szCs w:val="24"/>
          <w:lang w:val="ro-MD"/>
        </w:rPr>
        <w:t>ă</w:t>
      </w:r>
      <w:r w:rsidRPr="00623501">
        <w:rPr>
          <w:rFonts w:ascii="Times New Roman" w:eastAsia="Times New Roman" w:hAnsi="Times New Roman" w:cs="Times New Roman"/>
          <w:sz w:val="24"/>
          <w:szCs w:val="24"/>
          <w:lang w:val="ro-RO"/>
        </w:rPr>
        <w:t xml:space="preserve"> este obligată să furnizeze marje de variaţie unei</w:t>
      </w:r>
      <w:r w:rsidRPr="007C743C">
        <w:rPr>
          <w:rFonts w:ascii="Times New Roman" w:eastAsia="Times New Roman" w:hAnsi="Times New Roman" w:cs="Times New Roman"/>
          <w:sz w:val="24"/>
          <w:szCs w:val="24"/>
          <w:lang w:val="ro-RO"/>
        </w:rPr>
        <w:t xml:space="preserve"> contrapărţi, dar nu are dreptul să primească marja de variaţie de la contrapartea respectivă sau viceversa;</w:t>
      </w:r>
    </w:p>
    <w:p w14:paraId="6074C299" w14:textId="77777777"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contraparte</w:t>
      </w:r>
      <w:r w:rsidRPr="00623501">
        <w:rPr>
          <w:rFonts w:ascii="Times New Roman" w:eastAsia="Times New Roman" w:hAnsi="Times New Roman" w:cs="Times New Roman"/>
          <w:sz w:val="24"/>
          <w:szCs w:val="24"/>
          <w:lang w:val="ro-RO"/>
        </w:rPr>
        <w:t xml:space="preserve"> - orice persoană juridică sau fizică care participă la un acord de compensare şi are capacitatea de exerciţiu în acest sens;</w:t>
      </w:r>
    </w:p>
    <w:p w14:paraId="4F670197" w14:textId="3B8AECEB" w:rsidR="00D2531C" w:rsidRPr="00623501" w:rsidRDefault="00D2531C"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contribuţie nefinanţată la un fond de garantare</w:t>
      </w:r>
      <w:r w:rsidRPr="00623501">
        <w:rPr>
          <w:rFonts w:ascii="Times New Roman" w:eastAsia="Times New Roman" w:hAnsi="Times New Roman" w:cs="Times New Roman"/>
          <w:sz w:val="24"/>
          <w:szCs w:val="24"/>
          <w:lang w:val="ro-RO"/>
        </w:rPr>
        <w:t xml:space="preserve"> - o contribuţie pe care o bancă care acţionează ca membru compensator s-a angajat contractual să o furnizeze unei CPC după ce aceasta din urmă și-a epuizat fondul de garantare pentru a acoperi pierderile suportate ca urmare a intrării în stare de nerambursare a unuia sau a mai multora dintre membrii săi compensatori;</w:t>
      </w:r>
    </w:p>
    <w:p w14:paraId="77EAD70F" w14:textId="77777777"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compensare</w:t>
      </w:r>
      <w:r w:rsidRPr="00623501">
        <w:rPr>
          <w:rFonts w:ascii="Times New Roman" w:eastAsia="Times New Roman" w:hAnsi="Times New Roman" w:cs="Times New Roman"/>
          <w:sz w:val="24"/>
          <w:szCs w:val="24"/>
          <w:lang w:val="ro-RO"/>
        </w:rPr>
        <w:t xml:space="preserve"> - procesul de stabilire a poziţiilor, inclusiv calculul obligaţiilor nete, şi de asigurare a disponibilităţii instrumentelor financiare, a fondurilor băneşti sau a ambelor pentru acoperirea expunerilor rezultate în urma acestor poziţii;</w:t>
      </w:r>
    </w:p>
    <w:p w14:paraId="1BACB369" w14:textId="7065F5B0" w:rsidR="007C743C" w:rsidRPr="00623501" w:rsidRDefault="007C743C"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compensare între produse diferite</w:t>
      </w:r>
      <w:r w:rsidRPr="00623501">
        <w:rPr>
          <w:rFonts w:ascii="Times New Roman" w:eastAsia="Times New Roman" w:hAnsi="Times New Roman" w:cs="Times New Roman"/>
          <w:sz w:val="24"/>
          <w:szCs w:val="24"/>
          <w:lang w:val="ro-RO"/>
        </w:rPr>
        <w:t xml:space="preserve"> - includerea, în același set de compensare, a unor tranzacţii privind categorii diferite de produse, în conformitate cu normele de compensare între produse diferite, stabilite în prezentul regulament;</w:t>
      </w:r>
    </w:p>
    <w:p w14:paraId="07495A5B" w14:textId="77777777"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delta</w:t>
      </w:r>
      <w:r w:rsidRPr="00623501">
        <w:rPr>
          <w:rFonts w:ascii="Times New Roman" w:eastAsia="Times New Roman" w:hAnsi="Times New Roman" w:cs="Times New Roman"/>
          <w:sz w:val="24"/>
          <w:szCs w:val="24"/>
          <w:lang w:val="ro-RO"/>
        </w:rPr>
        <w:t xml:space="preserve"> - variaţia aşteptată a preţului unui instrument financiar în raport cu o variaţie a preţului instrumentului suport al instrumentului financiar;</w:t>
      </w:r>
    </w:p>
    <w:p w14:paraId="4E93CDBD" w14:textId="7E771990" w:rsidR="00C44B7E" w:rsidRPr="00623501"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expunere curentă</w:t>
      </w:r>
      <w:r w:rsidRPr="00623501">
        <w:rPr>
          <w:rFonts w:ascii="Times New Roman" w:eastAsia="Times New Roman" w:hAnsi="Times New Roman" w:cs="Times New Roman"/>
          <w:sz w:val="24"/>
          <w:szCs w:val="24"/>
          <w:lang w:val="ro-RO"/>
        </w:rPr>
        <w:t xml:space="preserve"> - valoarea mai mare dintre zero și valoarea de piaţă a unei tranzacţii sau a unui portofoliu de tranzacţii din cadrul unui set de compensare cu o contraparte, care s-ar pierde prin intrarea contrapărţii în stare de nerambursare, presupunând că valoarea tranzacţiilor respective nu poate fi recuperată, nici parţial, în caz de insolvenţă sau de lichidare;</w:t>
      </w:r>
    </w:p>
    <w:p w14:paraId="17489CF6" w14:textId="5C70D78B" w:rsidR="00C44B7E" w:rsidRPr="00623501"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expunere maximă</w:t>
      </w:r>
      <w:r w:rsidRPr="00623501">
        <w:rPr>
          <w:rFonts w:ascii="Times New Roman" w:eastAsia="Times New Roman" w:hAnsi="Times New Roman" w:cs="Times New Roman"/>
          <w:sz w:val="24"/>
          <w:szCs w:val="24"/>
          <w:lang w:val="ro-RO"/>
        </w:rPr>
        <w:t xml:space="preserve"> - o centilă superioară a distribuţiei expunerilor la o anumită dată viitoare, anterioară datei scadenţei tranzacţiei cu cea mai lungă durată din setul de compensare;</w:t>
      </w:r>
    </w:p>
    <w:p w14:paraId="57BA3FEA" w14:textId="1A2F3A76" w:rsidR="00C44B7E" w:rsidRPr="00C44B7E"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expunere așteptată (EE)</w:t>
      </w:r>
      <w:r w:rsidRPr="00623501">
        <w:rPr>
          <w:rFonts w:ascii="Times New Roman" w:eastAsia="Times New Roman" w:hAnsi="Times New Roman" w:cs="Times New Roman"/>
          <w:sz w:val="24"/>
          <w:szCs w:val="24"/>
          <w:lang w:val="ro-RO"/>
        </w:rPr>
        <w:t xml:space="preserve"> -</w:t>
      </w:r>
      <w:r w:rsidRPr="00C44B7E">
        <w:rPr>
          <w:rFonts w:ascii="Times New Roman" w:eastAsia="Times New Roman" w:hAnsi="Times New Roman" w:cs="Times New Roman"/>
          <w:sz w:val="24"/>
          <w:szCs w:val="24"/>
          <w:lang w:val="ro-RO"/>
        </w:rPr>
        <w:t xml:space="preserve"> media distribuţiei expunerilor, la o anumită dată viitoare, înainte de data scadenţei tranzacţiei cu cea mai lungă durată din setul de compensare;</w:t>
      </w:r>
    </w:p>
    <w:p w14:paraId="1F32D6D7" w14:textId="223D336F" w:rsidR="00C44B7E" w:rsidRPr="00623501"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expunere așteptată efectivă la o dată specifică</w:t>
      </w:r>
      <w:r w:rsidRPr="00623501">
        <w:rPr>
          <w:rFonts w:ascii="Times New Roman" w:eastAsia="Times New Roman" w:hAnsi="Times New Roman" w:cs="Times New Roman"/>
          <w:sz w:val="24"/>
          <w:szCs w:val="24"/>
          <w:lang w:val="ro-RO"/>
        </w:rPr>
        <w:t xml:space="preserve"> (denumită în continuare „EE efectivă”) - valoarea maximă a expunerii așteptate din data respectivă sau din orice dată anterioară. Expunerea așteptată efectivă la o dată specifică se mai poate, de asemenea, defini ca valoarea mai mare dintre expunerea așteptată la data respectivă și expunerea așteptată efectivă la orice dată anterioară;</w:t>
      </w:r>
    </w:p>
    <w:p w14:paraId="599A0422" w14:textId="065DA185" w:rsidR="00C44B7E" w:rsidRPr="00623501"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expunerea pozitivă așteptată</w:t>
      </w:r>
      <w:r w:rsidRPr="00623501">
        <w:rPr>
          <w:rFonts w:ascii="Times New Roman" w:eastAsia="Times New Roman" w:hAnsi="Times New Roman" w:cs="Times New Roman"/>
          <w:sz w:val="24"/>
          <w:szCs w:val="24"/>
          <w:lang w:val="ro-RO"/>
        </w:rPr>
        <w:t xml:space="preserve"> (EPE) - media ponderată în timp a expunerilor așteptate, în care ponderile sunt proporţiile din întreaga perioadă care corespund fiecărei expuneri așteptate. </w:t>
      </w:r>
    </w:p>
    <w:p w14:paraId="049D6140" w14:textId="6C37DFD2" w:rsidR="00C44B7E" w:rsidRPr="00623501"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sz w:val="24"/>
          <w:szCs w:val="24"/>
          <w:lang w:val="ro-RO"/>
        </w:rPr>
        <w:t>La calculul cerinţei de fonduri proprii, băncile utilizează media pe primul an sau, dacă toate contractele din setul de compensare ajung la scadenţă în mai puţin de un an, pe durata în care contractul cu cea mai mare scadenţă din setul de compensare ajunge la scadenţă;</w:t>
      </w:r>
    </w:p>
    <w:p w14:paraId="3CF8294D" w14:textId="6A95B262" w:rsidR="00C44B7E" w:rsidRDefault="00C44B7E" w:rsidP="00C44B7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expunerea pozitivă așteptată efectivă</w:t>
      </w:r>
      <w:r w:rsidRPr="00C44B7E">
        <w:rPr>
          <w:rFonts w:ascii="Times New Roman" w:eastAsia="Times New Roman" w:hAnsi="Times New Roman" w:cs="Times New Roman"/>
          <w:sz w:val="24"/>
          <w:szCs w:val="24"/>
          <w:lang w:val="ro-RO"/>
        </w:rPr>
        <w:t xml:space="preserve"> (denumită în continuare „EPE efectivă”) </w:t>
      </w:r>
      <w:r>
        <w:rPr>
          <w:rFonts w:ascii="Times New Roman" w:eastAsia="Times New Roman" w:hAnsi="Times New Roman" w:cs="Times New Roman"/>
          <w:sz w:val="24"/>
          <w:szCs w:val="24"/>
          <w:lang w:val="ro-RO"/>
        </w:rPr>
        <w:t xml:space="preserve">- </w:t>
      </w:r>
      <w:r w:rsidRPr="00C44B7E">
        <w:rPr>
          <w:rFonts w:ascii="Times New Roman" w:eastAsia="Times New Roman" w:hAnsi="Times New Roman" w:cs="Times New Roman"/>
          <w:sz w:val="24"/>
          <w:szCs w:val="24"/>
          <w:lang w:val="ro-RO"/>
        </w:rPr>
        <w:t>media ponderată a expunerilor așteptate efective pe primul an al unui set de compensare sau, dacă toate contractele din setul de compensare ajung la scadenţă în mai puţin de un an, pe durata contractului cu cea mai mare scadenţă din setul de compensare, în care ponderile sunt proporţiile din întreaga perioadă care corespund fiecărei expuneri așteptate;</w:t>
      </w:r>
    </w:p>
    <w:p w14:paraId="33950346" w14:textId="77777777" w:rsidR="00D2531C" w:rsidRDefault="00C44B7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indisponibil în caz de faliment</w:t>
      </w:r>
      <w:r>
        <w:rPr>
          <w:rFonts w:ascii="Times New Roman" w:eastAsia="Times New Roman" w:hAnsi="Times New Roman" w:cs="Times New Roman"/>
          <w:sz w:val="24"/>
          <w:szCs w:val="24"/>
          <w:lang w:val="ro-RO"/>
        </w:rPr>
        <w:t xml:space="preserve"> -</w:t>
      </w:r>
      <w:r w:rsidRPr="00C44B7E">
        <w:rPr>
          <w:rFonts w:ascii="Times New Roman" w:eastAsia="Times New Roman" w:hAnsi="Times New Roman" w:cs="Times New Roman"/>
          <w:sz w:val="24"/>
          <w:szCs w:val="24"/>
          <w:lang w:val="ro-RO"/>
        </w:rPr>
        <w:t xml:space="preserve"> cu privire la activele clienţilor, înseamnă existenţa unor dispoziţii eficace conform cărora activele respective fie nu vor fi disponibile creditorilor unei CPC sau unui membru compensator, în cazul insolvenţei CPC în cauză sau, respectiv, a membrului compensator în cauză, fie nu vor fi disponibile membrului compensator pentru a acoperi pierderile înregistrate ca urmare a nerambursării de către un client sau mai mulţi clienţi, alţii decât cei care au pus la dispoziţie activele respective;</w:t>
      </w:r>
    </w:p>
    <w:p w14:paraId="241C0AEF" w14:textId="76AB51DE"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membru compensator</w:t>
      </w:r>
      <w:r w:rsidRPr="00623501">
        <w:rPr>
          <w:rFonts w:ascii="Times New Roman" w:eastAsia="Times New Roman" w:hAnsi="Times New Roman" w:cs="Times New Roman"/>
          <w:sz w:val="24"/>
          <w:szCs w:val="24"/>
          <w:lang w:val="ro-RO"/>
        </w:rPr>
        <w:t xml:space="preserve"> - o persoană juridică care participă în cadrul unei CPC şi care răspunde de executarea obligaţiilor financiare care decurg din această participare;</w:t>
      </w:r>
    </w:p>
    <w:p w14:paraId="20CC95D5" w14:textId="7E8FE24A" w:rsidR="00A1421B" w:rsidRPr="00623501" w:rsidRDefault="00A1421B"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lastRenderedPageBreak/>
        <w:t>perioadă de risc de marjă</w:t>
      </w:r>
      <w:r w:rsidRPr="00623501">
        <w:rPr>
          <w:rFonts w:ascii="Times New Roman" w:eastAsia="Times New Roman" w:hAnsi="Times New Roman" w:cs="Times New Roman"/>
          <w:sz w:val="24"/>
          <w:szCs w:val="24"/>
          <w:lang w:val="ro-RO"/>
        </w:rPr>
        <w:t xml:space="preserve"> - perioada de la ultimul schimb de garanţii reale care acoperă un set de compensare de tranzacţii cu o contraparte aflată în stare de nerambursare până la momentul la care tranzacţiile sunt închise și riscul de piaţă rezultat face obiectul unei noi acoperiri;</w:t>
      </w:r>
    </w:p>
    <w:p w14:paraId="73457D86" w14:textId="3FBC9174" w:rsidR="00A1421B" w:rsidRPr="00623501" w:rsidRDefault="00A1421B"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prag de marjă</w:t>
      </w:r>
      <w:r w:rsidRPr="00623501">
        <w:rPr>
          <w:rFonts w:ascii="Times New Roman" w:eastAsia="Times New Roman" w:hAnsi="Times New Roman" w:cs="Times New Roman"/>
          <w:sz w:val="24"/>
          <w:szCs w:val="24"/>
          <w:lang w:val="ro-RO"/>
        </w:rPr>
        <w:t xml:space="preserve"> - cel mai mare cuantum pe care îl poate atinge o expunere în curs, înainte ca o parte să aibă dreptul să solicite garanţii reale;</w:t>
      </w:r>
    </w:p>
    <w:p w14:paraId="62DC3D4D" w14:textId="6FB03E7E"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poziţie de risc</w:t>
      </w:r>
      <w:r w:rsidRPr="00623501">
        <w:rPr>
          <w:rFonts w:ascii="Times New Roman" w:eastAsia="Times New Roman" w:hAnsi="Times New Roman" w:cs="Times New Roman"/>
          <w:sz w:val="24"/>
          <w:szCs w:val="24"/>
          <w:lang w:val="ro-RO"/>
        </w:rPr>
        <w:t xml:space="preserve"> - o valoare de risc care este atribuită unei tranzacţii, pe baza unui algoritm predeterminat, în cadrul metodei standardizate prevăzute în capitolul V, secţiunea </w:t>
      </w:r>
      <w:r w:rsidR="002458F0" w:rsidRPr="00623501">
        <w:rPr>
          <w:rFonts w:ascii="Times New Roman" w:eastAsia="Times New Roman" w:hAnsi="Times New Roman" w:cs="Times New Roman"/>
          <w:sz w:val="24"/>
          <w:szCs w:val="24"/>
          <w:lang w:val="ro-RO"/>
        </w:rPr>
        <w:t xml:space="preserve">a </w:t>
      </w:r>
      <w:r w:rsidRPr="00623501">
        <w:rPr>
          <w:rFonts w:ascii="Times New Roman" w:eastAsia="Times New Roman" w:hAnsi="Times New Roman" w:cs="Times New Roman"/>
          <w:sz w:val="24"/>
          <w:szCs w:val="24"/>
          <w:lang w:val="ro-RO"/>
        </w:rPr>
        <w:t>4</w:t>
      </w:r>
      <w:r w:rsidR="002458F0" w:rsidRPr="00623501">
        <w:rPr>
          <w:rFonts w:ascii="Times New Roman" w:eastAsia="Times New Roman" w:hAnsi="Times New Roman" w:cs="Times New Roman"/>
          <w:sz w:val="24"/>
          <w:szCs w:val="24"/>
          <w:lang w:val="ro-RO"/>
        </w:rPr>
        <w:t>-a</w:t>
      </w:r>
      <w:r w:rsidRPr="00623501">
        <w:rPr>
          <w:rFonts w:ascii="Times New Roman" w:eastAsia="Times New Roman" w:hAnsi="Times New Roman" w:cs="Times New Roman"/>
          <w:sz w:val="24"/>
          <w:szCs w:val="24"/>
          <w:lang w:val="ro-RO"/>
        </w:rPr>
        <w:t>;</w:t>
      </w:r>
    </w:p>
    <w:p w14:paraId="1D9AC822" w14:textId="5159B14D" w:rsidR="00E87DC6" w:rsidRDefault="00E87DC6" w:rsidP="00A718BE">
      <w:pPr>
        <w:spacing w:after="0" w:line="240" w:lineRule="auto"/>
        <w:ind w:firstLine="567"/>
        <w:jc w:val="both"/>
        <w:rPr>
          <w:rFonts w:ascii="Times New Roman" w:eastAsia="Times New Roman" w:hAnsi="Times New Roman" w:cs="Times New Roman"/>
          <w:sz w:val="24"/>
          <w:szCs w:val="24"/>
          <w:lang w:val="ro-RO"/>
        </w:rPr>
      </w:pPr>
      <w:r w:rsidRPr="00623501">
        <w:rPr>
          <w:rFonts w:ascii="Times New Roman" w:eastAsia="Times New Roman" w:hAnsi="Times New Roman" w:cs="Times New Roman"/>
          <w:i/>
          <w:iCs/>
          <w:sz w:val="24"/>
          <w:szCs w:val="24"/>
          <w:lang w:val="ro-RO"/>
        </w:rPr>
        <w:t>risc de credit al contrapărții</w:t>
      </w:r>
      <w:r w:rsidRPr="00623501">
        <w:rPr>
          <w:rFonts w:ascii="Times New Roman" w:eastAsia="Times New Roman" w:hAnsi="Times New Roman" w:cs="Times New Roman"/>
          <w:sz w:val="24"/>
          <w:szCs w:val="24"/>
          <w:lang w:val="ro-RO"/>
        </w:rPr>
        <w:t xml:space="preserve"> (CCR) </w:t>
      </w:r>
      <w:r w:rsidR="000C1BED">
        <w:rPr>
          <w:rFonts w:ascii="Times New Roman" w:eastAsia="Times New Roman" w:hAnsi="Times New Roman" w:cs="Times New Roman"/>
          <w:sz w:val="24"/>
          <w:szCs w:val="24"/>
          <w:lang w:val="ro-RO"/>
        </w:rPr>
        <w:t xml:space="preserve">- </w:t>
      </w:r>
      <w:r w:rsidRPr="00E87DC6">
        <w:rPr>
          <w:rFonts w:ascii="Times New Roman" w:eastAsia="Times New Roman" w:hAnsi="Times New Roman" w:cs="Times New Roman"/>
          <w:sz w:val="24"/>
          <w:szCs w:val="24"/>
          <w:lang w:val="ro-RO"/>
        </w:rPr>
        <w:t>riscul ca o contraparte la o tranzacție să intre în stare de nerambursare înainte de decontarea finală a fluxurilor de numerar aferente tranzacției;</w:t>
      </w:r>
    </w:p>
    <w:p w14:paraId="3628A1F1"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i/>
          <w:iCs/>
          <w:sz w:val="24"/>
          <w:szCs w:val="24"/>
          <w:lang w:val="ro-MD"/>
        </w:rPr>
        <w:t>riscul general de corelare defavorabilă</w:t>
      </w:r>
      <w:r w:rsidRPr="00A718BE">
        <w:rPr>
          <w:rFonts w:ascii="Times New Roman" w:eastAsia="Times New Roman" w:hAnsi="Times New Roman" w:cs="Times New Roman"/>
          <w:sz w:val="24"/>
          <w:szCs w:val="24"/>
          <w:lang w:val="ro-MD"/>
        </w:rPr>
        <w:t xml:space="preserve"> - riscul care apare atunci când probabilitatea intrării în stare de nerambursare a contrapărţilor este corelată pozitiv cu factorii de risc de piaţă generală;</w:t>
      </w:r>
    </w:p>
    <w:p w14:paraId="4FD974C4"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i/>
          <w:iCs/>
          <w:sz w:val="24"/>
          <w:szCs w:val="24"/>
          <w:lang w:val="ro-MD"/>
        </w:rPr>
        <w:t>riscul specific de corelare defavorabilă</w:t>
      </w:r>
      <w:r w:rsidRPr="00A718BE">
        <w:rPr>
          <w:rFonts w:ascii="Times New Roman" w:eastAsia="Times New Roman" w:hAnsi="Times New Roman" w:cs="Times New Roman"/>
          <w:sz w:val="24"/>
          <w:szCs w:val="24"/>
          <w:lang w:val="ro-MD"/>
        </w:rPr>
        <w:t xml:space="preserve"> - apare atunci când expunerea viitoare faţă de o anumită contraparte este corelată pozitiv cu probabilitate de nerambursare a contrapărţii, ca urmare a tipului de tranzacţii efectuate cu contrapartea. Se consideră că banca este expusă unui risc specific de corelare defavorabilă, în cazul în care este de aşteptat ca expunerea viitoare faţă de o anumită contraparte să fie semnificativă atunci când probabilitatea de nerambursare de către contraparte este, de asemenea, ridicată;</w:t>
      </w:r>
    </w:p>
    <w:p w14:paraId="711E3413" w14:textId="68363497" w:rsidR="006F44E8" w:rsidRPr="00623501" w:rsidRDefault="00A718BE"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set de acoperire a riscului</w:t>
      </w:r>
      <w:r w:rsidRPr="00623501">
        <w:rPr>
          <w:rFonts w:ascii="Times New Roman" w:eastAsia="Times New Roman" w:hAnsi="Times New Roman" w:cs="Times New Roman"/>
          <w:sz w:val="24"/>
          <w:szCs w:val="24"/>
          <w:lang w:val="ro-MD"/>
        </w:rPr>
        <w:t xml:space="preserve"> - </w:t>
      </w:r>
      <w:r w:rsidR="00281ABB" w:rsidRPr="00623501">
        <w:rPr>
          <w:rFonts w:ascii="Times New Roman" w:eastAsia="Times New Roman" w:hAnsi="Times New Roman" w:cs="Times New Roman"/>
          <w:sz w:val="24"/>
          <w:szCs w:val="24"/>
          <w:lang w:val="ro-MD"/>
        </w:rPr>
        <w:t xml:space="preserve">un grup de tranzacţii din cadrul unui singur set de compensare în cazul căruia compensarea integrală sau parţială este autorizată pentru determinarea expunerii viitoare potenţiale în conformitate cu metodele prevăzute în </w:t>
      </w:r>
      <w:r w:rsidR="005B5F24" w:rsidRPr="00A37663">
        <w:rPr>
          <w:rFonts w:ascii="Times New Roman" w:eastAsia="Times New Roman" w:hAnsi="Times New Roman" w:cs="Times New Roman"/>
          <w:sz w:val="24"/>
          <w:szCs w:val="24"/>
          <w:lang w:val="ro-MD"/>
        </w:rPr>
        <w:t>capitolul</w:t>
      </w:r>
      <w:r w:rsidR="005B5F24" w:rsidRPr="00623501">
        <w:rPr>
          <w:rFonts w:ascii="Times New Roman" w:eastAsia="Times New Roman" w:hAnsi="Times New Roman" w:cs="Times New Roman"/>
          <w:sz w:val="24"/>
          <w:szCs w:val="24"/>
          <w:lang w:val="ro-MD"/>
        </w:rPr>
        <w:t xml:space="preserve"> </w:t>
      </w:r>
      <w:r w:rsidR="00233DDA" w:rsidRPr="00623501">
        <w:rPr>
          <w:rFonts w:ascii="Times New Roman" w:eastAsia="Times New Roman" w:hAnsi="Times New Roman" w:cs="Times New Roman"/>
          <w:sz w:val="24"/>
          <w:szCs w:val="24"/>
          <w:lang w:val="ro-MD"/>
        </w:rPr>
        <w:t>III</w:t>
      </w:r>
      <w:r w:rsidR="005B5F24" w:rsidRPr="00623501">
        <w:rPr>
          <w:rFonts w:ascii="Times New Roman" w:eastAsia="Times New Roman" w:hAnsi="Times New Roman" w:cs="Times New Roman"/>
          <w:sz w:val="24"/>
          <w:szCs w:val="24"/>
          <w:lang w:val="ro-MD"/>
        </w:rPr>
        <w:t xml:space="preserve"> sau </w:t>
      </w:r>
      <w:r w:rsidR="00233DDA" w:rsidRPr="00623501">
        <w:rPr>
          <w:rFonts w:ascii="Times New Roman" w:eastAsia="Times New Roman" w:hAnsi="Times New Roman" w:cs="Times New Roman"/>
          <w:sz w:val="24"/>
          <w:szCs w:val="24"/>
          <w:lang w:val="ro-MD"/>
        </w:rPr>
        <w:t>IV</w:t>
      </w:r>
      <w:r w:rsidR="00281ABB" w:rsidRPr="00623501">
        <w:rPr>
          <w:rFonts w:ascii="Times New Roman" w:eastAsia="Times New Roman" w:hAnsi="Times New Roman" w:cs="Times New Roman"/>
          <w:sz w:val="24"/>
          <w:szCs w:val="24"/>
          <w:lang w:val="ro-MD"/>
        </w:rPr>
        <w:t xml:space="preserve"> din prezentul </w:t>
      </w:r>
      <w:r w:rsidR="005B5F24" w:rsidRPr="00623501">
        <w:rPr>
          <w:rFonts w:ascii="Times New Roman" w:eastAsia="Times New Roman" w:hAnsi="Times New Roman" w:cs="Times New Roman"/>
          <w:sz w:val="24"/>
          <w:szCs w:val="24"/>
          <w:lang w:val="ro-MD"/>
        </w:rPr>
        <w:t>regulament</w:t>
      </w:r>
      <w:r w:rsidR="00281ABB" w:rsidRPr="00623501">
        <w:rPr>
          <w:rFonts w:ascii="Times New Roman" w:eastAsia="Times New Roman" w:hAnsi="Times New Roman" w:cs="Times New Roman"/>
          <w:sz w:val="24"/>
          <w:szCs w:val="24"/>
          <w:lang w:val="ro-MD"/>
        </w:rPr>
        <w:t>;</w:t>
      </w:r>
    </w:p>
    <w:p w14:paraId="047AD4D9" w14:textId="5914987F"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set de compensare</w:t>
      </w:r>
      <w:r w:rsidRPr="00623501">
        <w:rPr>
          <w:rFonts w:ascii="Times New Roman" w:eastAsia="Times New Roman" w:hAnsi="Times New Roman" w:cs="Times New Roman"/>
          <w:sz w:val="24"/>
          <w:szCs w:val="24"/>
          <w:lang w:val="ro-MD"/>
        </w:rPr>
        <w:t xml:space="preserve"> - un grup de tranzacţii între o bancă şi o singură contraparte, care face obiectul unui acord de compensare contractual executoriu din punct de vedere juridic şi recunoscut în conformitate cu capitolul VI din prezentul regulament şi cu capitolele III şi VI din Regulamentul cu privire la tehnicile de diminuare a riscului de credit utilizate de bănci, aprobat prin Hotărârea Comitetului </w:t>
      </w:r>
      <w:r w:rsidR="005D203C">
        <w:rPr>
          <w:rFonts w:ascii="Times New Roman" w:eastAsia="Times New Roman" w:hAnsi="Times New Roman" w:cs="Times New Roman"/>
          <w:sz w:val="24"/>
          <w:szCs w:val="24"/>
          <w:lang w:val="ro-MD"/>
        </w:rPr>
        <w:t>e</w:t>
      </w:r>
      <w:r w:rsidRPr="00623501">
        <w:rPr>
          <w:rFonts w:ascii="Times New Roman" w:eastAsia="Times New Roman" w:hAnsi="Times New Roman" w:cs="Times New Roman"/>
          <w:sz w:val="24"/>
          <w:szCs w:val="24"/>
          <w:lang w:val="ro-MD"/>
        </w:rPr>
        <w:t>xecutiv (HCE) nr.112/2018. Orice tranzacţie care nu face obiectul unui acord de compensare contractual executoriu din punct de vedere juridic şi recunoscut în conformitate cu capitolul VI din Regulamentul nr.112/2018 va fi tratată ca fiind ea însăşi un set de compensare în sensul prezentului regulament;</w:t>
      </w:r>
    </w:p>
    <w:p w14:paraId="77443290" w14:textId="7C31D421"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segment de plată</w:t>
      </w:r>
      <w:r w:rsidRPr="00623501">
        <w:rPr>
          <w:rFonts w:ascii="Times New Roman" w:eastAsia="Times New Roman" w:hAnsi="Times New Roman" w:cs="Times New Roman"/>
          <w:sz w:val="24"/>
          <w:szCs w:val="24"/>
          <w:lang w:val="ro-MD"/>
        </w:rPr>
        <w:t xml:space="preserve"> - plata convenită la o tranzacţie cu un instrument financiar derivat extrabursier, care are un profil de risc liniar şi prevede schimbul unui instrument financiar contra unei plăţi. În cazul tranzacţiilor care prevăd schimbul unei plăţi contra altei plăţi, aceste două segmente de plată constau în plăţi brute convenite prin contract, incluzând </w:t>
      </w:r>
      <w:r w:rsidR="00020F55" w:rsidRPr="00623501">
        <w:rPr>
          <w:rFonts w:ascii="Times New Roman" w:eastAsia="Times New Roman" w:hAnsi="Times New Roman" w:cs="Times New Roman"/>
          <w:sz w:val="24"/>
          <w:szCs w:val="24"/>
          <w:lang w:val="ro-MD"/>
        </w:rPr>
        <w:t xml:space="preserve">cuantumul </w:t>
      </w:r>
      <w:r w:rsidRPr="00623501">
        <w:rPr>
          <w:rFonts w:ascii="Times New Roman" w:eastAsia="Times New Roman" w:hAnsi="Times New Roman" w:cs="Times New Roman"/>
          <w:sz w:val="24"/>
          <w:szCs w:val="24"/>
          <w:lang w:val="ro-MD"/>
        </w:rPr>
        <w:t>noţională a</w:t>
      </w:r>
      <w:r w:rsidR="00020F55" w:rsidRPr="00623501">
        <w:rPr>
          <w:rFonts w:ascii="Times New Roman" w:eastAsia="Times New Roman" w:hAnsi="Times New Roman" w:cs="Times New Roman"/>
          <w:sz w:val="24"/>
          <w:szCs w:val="24"/>
          <w:lang w:val="ro-MD"/>
        </w:rPr>
        <w:t>l</w:t>
      </w:r>
      <w:r w:rsidRPr="00623501">
        <w:rPr>
          <w:rFonts w:ascii="Times New Roman" w:eastAsia="Times New Roman" w:hAnsi="Times New Roman" w:cs="Times New Roman"/>
          <w:sz w:val="24"/>
          <w:szCs w:val="24"/>
          <w:lang w:val="ro-MD"/>
        </w:rPr>
        <w:t xml:space="preserve"> tranzacţiei;</w:t>
      </w:r>
    </w:p>
    <w:p w14:paraId="4056C2F9" w14:textId="4DE7411A" w:rsidR="00D2531C" w:rsidRPr="00623501" w:rsidRDefault="00D2531C"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structură a clientelei pe mai multe niveluri</w:t>
      </w:r>
      <w:r w:rsidRPr="00623501">
        <w:rPr>
          <w:rFonts w:ascii="Times New Roman" w:eastAsia="Times New Roman" w:hAnsi="Times New Roman" w:cs="Times New Roman"/>
          <w:sz w:val="24"/>
          <w:szCs w:val="24"/>
          <w:lang w:val="ro-MD"/>
        </w:rPr>
        <w:t xml:space="preserve"> - un mecanism indirect de compensare în temeiul căruia unei bănci îi sunt furnizate servicii de compensare de către o entitate care nu este un membru compensator, ci este la rândul său client al unui membru compensator sau al unui client de nivel superior;</w:t>
      </w:r>
    </w:p>
    <w:p w14:paraId="45F183DC" w14:textId="3067BD52" w:rsidR="009C50CC" w:rsidRPr="00623501" w:rsidRDefault="009C50CC"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suma independentă netă a garanţiilor reale</w:t>
      </w:r>
      <w:r w:rsidRPr="00623501">
        <w:rPr>
          <w:rFonts w:ascii="Times New Roman" w:eastAsia="Times New Roman" w:hAnsi="Times New Roman" w:cs="Times New Roman"/>
          <w:sz w:val="24"/>
          <w:szCs w:val="24"/>
          <w:lang w:val="ro-MD"/>
        </w:rPr>
        <w:t xml:space="preserve"> (NICA) înseamnă suma valorilor ajustate în funcţie de volatilitate ale garanţiilor reale nete primite sau furnizate, după caz, în cadrul setului de compensare, altele decât marja de variaţie;</w:t>
      </w:r>
    </w:p>
    <w:p w14:paraId="724D0546" w14:textId="0FD04485" w:rsidR="00D2531C" w:rsidRPr="00623501" w:rsidRDefault="00A718BE" w:rsidP="00D2531C">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tranzacţii cu termen lung de decontare</w:t>
      </w:r>
      <w:r w:rsidRPr="00623501">
        <w:rPr>
          <w:rFonts w:ascii="Times New Roman" w:eastAsia="Times New Roman" w:hAnsi="Times New Roman" w:cs="Times New Roman"/>
          <w:sz w:val="24"/>
          <w:szCs w:val="24"/>
          <w:lang w:val="ro-MD"/>
        </w:rPr>
        <w:t xml:space="preserve"> - tranzacţii în care o contraparte se angajează să livreze un titlu, o marfă sau o sumă în valută contra mijloace băneşti, alte instrumente financiare sau mărfuri, sau invers, la o dată de decontare sau de livrare, specificată prin contract, care depăşeşte durata standard pe piaţă pentru acest tip particular de tranzacţie sau 5 zile lucrătoare de la data la care banca a intrat în tranzacţie, dacă această a doua durată este mai scurtă;</w:t>
      </w:r>
    </w:p>
    <w:p w14:paraId="651D741D" w14:textId="77777777" w:rsidR="00A718BE" w:rsidRPr="00623501" w:rsidRDefault="00A718BE"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lastRenderedPageBreak/>
        <w:t>tranzacţii de creditare în marjă</w:t>
      </w:r>
      <w:r w:rsidRPr="00623501">
        <w:rPr>
          <w:rFonts w:ascii="Times New Roman" w:eastAsia="Times New Roman" w:hAnsi="Times New Roman" w:cs="Times New Roman"/>
          <w:sz w:val="24"/>
          <w:szCs w:val="24"/>
          <w:lang w:val="ro-MD"/>
        </w:rPr>
        <w:t xml:space="preserve"> - tranzacţii în care banca acordă credit în legătură cu achiziţionarea, vânzarea, deţinerea sau tranzacţionarea de titluri. Tranzacţiile de creditare în marjă nu includ alte împrumuturi care sunt acoperite cu garanţii reale sub formă de titluri;</w:t>
      </w:r>
    </w:p>
    <w:p w14:paraId="01EA8798" w14:textId="03487F04" w:rsidR="00D2531C" w:rsidRPr="00623501" w:rsidRDefault="00D2531C"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tranzacţie de dare sau luare cu împrumut de depozite garantată integral</w:t>
      </w:r>
      <w:r w:rsidRPr="00623501">
        <w:rPr>
          <w:rFonts w:ascii="Times New Roman" w:eastAsia="Times New Roman" w:hAnsi="Times New Roman" w:cs="Times New Roman"/>
          <w:sz w:val="24"/>
          <w:szCs w:val="24"/>
          <w:lang w:val="ro-MD"/>
        </w:rPr>
        <w:t xml:space="preserve"> - o tranzacţie de piaţă monetară acoperită integral cu garanţii reale în cadrul căreia două contrapărţi fac schimb de depozite și o CPC se interpune între acestea pentru a asigura executarea obligaţiilor de plată ale contrapărţilor respective;</w:t>
      </w:r>
    </w:p>
    <w:p w14:paraId="382C0CD5" w14:textId="2DB706BE" w:rsidR="00D2531C" w:rsidRPr="00623501" w:rsidRDefault="00D2531C"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tranzacţie legată de o CPC</w:t>
      </w:r>
      <w:r w:rsidRPr="00623501">
        <w:rPr>
          <w:rFonts w:ascii="Times New Roman" w:eastAsia="Times New Roman" w:hAnsi="Times New Roman" w:cs="Times New Roman"/>
          <w:sz w:val="24"/>
          <w:szCs w:val="24"/>
          <w:lang w:val="ro-MD"/>
        </w:rPr>
        <w:t xml:space="preserve"> - un contract sau o tranzacţie, enumerate la </w:t>
      </w:r>
      <w:r w:rsidR="00F81D8C" w:rsidRPr="00623501">
        <w:rPr>
          <w:rFonts w:ascii="Times New Roman" w:eastAsia="Times New Roman" w:hAnsi="Times New Roman" w:cs="Times New Roman"/>
          <w:sz w:val="24"/>
          <w:szCs w:val="24"/>
          <w:lang w:val="ro-MD"/>
        </w:rPr>
        <w:t>punctul 105</w:t>
      </w:r>
      <w:r w:rsidRPr="00623501">
        <w:rPr>
          <w:rFonts w:ascii="Times New Roman" w:eastAsia="Times New Roman" w:hAnsi="Times New Roman" w:cs="Times New Roman"/>
          <w:sz w:val="24"/>
          <w:szCs w:val="24"/>
          <w:lang w:val="ro-MD"/>
        </w:rPr>
        <w:t>, între un client și un membru compensator care sunt direct legate de un contract sau de o tranzacţie enumerate la alineatul respectiv între membrul compensator respectiv și o CPC;</w:t>
      </w:r>
    </w:p>
    <w:p w14:paraId="6AD11C62" w14:textId="2D312CDB" w:rsidR="00D2531C" w:rsidRPr="00623501" w:rsidRDefault="00D2531C"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tranzacţie în numerar</w:t>
      </w:r>
      <w:r w:rsidRPr="00623501">
        <w:rPr>
          <w:rFonts w:ascii="Times New Roman" w:eastAsia="Times New Roman" w:hAnsi="Times New Roman" w:cs="Times New Roman"/>
          <w:sz w:val="24"/>
          <w:szCs w:val="24"/>
          <w:lang w:val="ro-MD"/>
        </w:rPr>
        <w:t xml:space="preserve"> - tranzacţie cu numerar, titluri de datorie sau titluri de capital, o tranzacţie de schimb valutar la vedere sau o tranzacţie cu mărfuri la vedere; cu toate acestea, tranzacţiile de răscumpărare, tranzacţiile de dare cu împrumut de titluri de valoare sau de mărfuri și tranzacţiile de luare cu împrumut de titluri de valoare sau de mărfuri nu sunt tranzacţii în numerar;</w:t>
      </w:r>
    </w:p>
    <w:p w14:paraId="35FC66C9" w14:textId="1EA4034E"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623501">
        <w:rPr>
          <w:rFonts w:ascii="Times New Roman" w:eastAsia="Times New Roman" w:hAnsi="Times New Roman" w:cs="Times New Roman"/>
          <w:i/>
          <w:iCs/>
          <w:sz w:val="24"/>
          <w:szCs w:val="24"/>
          <w:lang w:val="ro-MD"/>
        </w:rPr>
        <w:t>valoarea de piaţă curentă (CMV)</w:t>
      </w:r>
      <w:r w:rsidRPr="00623501">
        <w:rPr>
          <w:rFonts w:ascii="Times New Roman" w:eastAsia="Times New Roman" w:hAnsi="Times New Roman" w:cs="Times New Roman"/>
          <w:sz w:val="24"/>
          <w:szCs w:val="24"/>
          <w:lang w:val="ro-MD"/>
        </w:rPr>
        <w:t xml:space="preserve"> - </w:t>
      </w:r>
      <w:r w:rsidR="00020F55" w:rsidRPr="00623501">
        <w:rPr>
          <w:rFonts w:ascii="Times New Roman" w:eastAsia="Times New Roman" w:hAnsi="Times New Roman" w:cs="Times New Roman"/>
          <w:sz w:val="24"/>
          <w:szCs w:val="24"/>
          <w:lang w:val="ro-MD"/>
        </w:rPr>
        <w:t>înseamnă valoarea netă de piaţă a tuturor tranzacţiilor din cadrul unui set de compensare înainte de deducerea oricărei garanţii reale deţinute sau furnizate, valorile de piaţă pozitive fiind compensate cu cele negative la calcularea CMV.</w:t>
      </w:r>
    </w:p>
    <w:p w14:paraId="2EFFF63A"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 </w:t>
      </w:r>
    </w:p>
    <w:p w14:paraId="2C95D44E" w14:textId="77777777" w:rsidR="00A718BE" w:rsidRPr="00A718BE" w:rsidRDefault="00A718BE" w:rsidP="00A718BE">
      <w:pPr>
        <w:spacing w:after="0" w:line="240" w:lineRule="auto"/>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Capitolul II</w:t>
      </w:r>
    </w:p>
    <w:p w14:paraId="0AFE87E2" w14:textId="151F90FE" w:rsidR="00A718BE" w:rsidRDefault="00933CA2" w:rsidP="00A718BE">
      <w:pPr>
        <w:spacing w:after="0" w:line="240" w:lineRule="auto"/>
        <w:jc w:val="center"/>
        <w:rPr>
          <w:rFonts w:ascii="Times New Roman" w:eastAsia="Times New Roman" w:hAnsi="Times New Roman" w:cs="Times New Roman"/>
          <w:b/>
          <w:bCs/>
          <w:sz w:val="24"/>
          <w:szCs w:val="24"/>
          <w:lang w:val="ro-MD"/>
        </w:rPr>
      </w:pPr>
      <w:r w:rsidRPr="00A718BE">
        <w:rPr>
          <w:rFonts w:ascii="Times New Roman" w:eastAsia="Times New Roman" w:hAnsi="Times New Roman" w:cs="Times New Roman"/>
          <w:b/>
          <w:bCs/>
          <w:sz w:val="24"/>
          <w:szCs w:val="24"/>
          <w:lang w:val="ro-MD"/>
        </w:rPr>
        <w:t xml:space="preserve"> </w:t>
      </w:r>
      <w:r>
        <w:rPr>
          <w:rFonts w:ascii="Times New Roman" w:eastAsia="Times New Roman" w:hAnsi="Times New Roman" w:cs="Times New Roman"/>
          <w:b/>
          <w:bCs/>
          <w:sz w:val="24"/>
          <w:szCs w:val="24"/>
          <w:lang w:val="ro-MD"/>
        </w:rPr>
        <w:t xml:space="preserve">METODE DE CALCUL AL </w:t>
      </w:r>
      <w:r w:rsidR="00A718BE" w:rsidRPr="00A718BE">
        <w:rPr>
          <w:rFonts w:ascii="Times New Roman" w:eastAsia="Times New Roman" w:hAnsi="Times New Roman" w:cs="Times New Roman"/>
          <w:b/>
          <w:bCs/>
          <w:sz w:val="24"/>
          <w:szCs w:val="24"/>
          <w:lang w:val="ro-MD"/>
        </w:rPr>
        <w:t>VALORII EXPUNERII</w:t>
      </w:r>
    </w:p>
    <w:p w14:paraId="4EBF4449" w14:textId="77777777" w:rsidR="00933CA2" w:rsidRPr="006C31DC" w:rsidRDefault="00933CA2" w:rsidP="00933CA2">
      <w:pPr>
        <w:pStyle w:val="CM4"/>
        <w:spacing w:before="60" w:after="60"/>
        <w:jc w:val="center"/>
        <w:rPr>
          <w:color w:val="000000"/>
        </w:rPr>
      </w:pPr>
      <w:r>
        <w:rPr>
          <w:i/>
          <w:iCs/>
          <w:color w:val="000000"/>
        </w:rPr>
        <w:t>Secțiunea 1</w:t>
      </w:r>
    </w:p>
    <w:p w14:paraId="61AFB0E2" w14:textId="771163D8" w:rsidR="00A718BE" w:rsidRPr="00CA27C5" w:rsidRDefault="00ED08B8" w:rsidP="00A718BE">
      <w:pPr>
        <w:spacing w:after="0" w:line="240" w:lineRule="auto"/>
        <w:jc w:val="center"/>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Determinarea valorii expunerii</w:t>
      </w:r>
    </w:p>
    <w:p w14:paraId="2C21A864"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4.</w:t>
      </w:r>
      <w:r w:rsidRPr="00A718BE">
        <w:rPr>
          <w:rFonts w:ascii="Times New Roman" w:eastAsia="Times New Roman" w:hAnsi="Times New Roman" w:cs="Times New Roman"/>
          <w:sz w:val="24"/>
          <w:szCs w:val="24"/>
          <w:lang w:val="ro-MD"/>
        </w:rPr>
        <w:t xml:space="preserve"> Banca este în drept să determine valoarea expunerii tranzacţiilor de răscumpărare, a operaţiunilor de dare sau luare de titluri sau mărfuri cu împrumut, a tranzacţiilor cu termen lung de decontare şi a tranzacţiilor de creditare în marjă în conformitate cu prezentul regulament, fără utilizarea dispoziţiilor Regulamentului nr.112/2018 cu privire la tehnicile de diminuare a riscului de credit utilizate de bănci.</w:t>
      </w:r>
    </w:p>
    <w:p w14:paraId="2245D973" w14:textId="77777777" w:rsidR="00A718BE" w:rsidRPr="00CA27C5" w:rsidRDefault="00A718BE" w:rsidP="00A718BE">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5.</w:t>
      </w:r>
      <w:r w:rsidRPr="00CA27C5">
        <w:rPr>
          <w:rFonts w:ascii="Times New Roman" w:eastAsia="Times New Roman" w:hAnsi="Times New Roman" w:cs="Times New Roman"/>
          <w:sz w:val="24"/>
          <w:szCs w:val="24"/>
          <w:lang w:val="ro-MD"/>
        </w:rPr>
        <w:t xml:space="preserve"> În scopul evaluării riscului de credit al contrapărţii, valoarea expunerii instrumentelor financiare derivate şi a tranzacţiilor menţionate la punctul 4 se determină utilizând următoarele metode de calcul:</w:t>
      </w:r>
    </w:p>
    <w:p w14:paraId="6CB3D170" w14:textId="6BB43F6E" w:rsidR="00A718BE" w:rsidRPr="00CA27C5" w:rsidRDefault="00A718BE" w:rsidP="00A718BE">
      <w:pPr>
        <w:spacing w:after="0" w:line="240" w:lineRule="auto"/>
        <w:ind w:firstLine="567"/>
        <w:jc w:val="both"/>
        <w:rPr>
          <w:rFonts w:ascii="Times New Roman" w:eastAsia="Times New Roman" w:hAnsi="Times New Roman" w:cs="Times New Roman"/>
          <w:color w:val="000000" w:themeColor="text1"/>
          <w:sz w:val="24"/>
          <w:szCs w:val="24"/>
          <w:lang w:val="ro-MD"/>
        </w:rPr>
      </w:pPr>
      <w:bookmarkStart w:id="1" w:name="_Hlk153059606"/>
      <w:r w:rsidRPr="00CA27C5">
        <w:rPr>
          <w:rFonts w:ascii="Times New Roman" w:eastAsia="Times New Roman" w:hAnsi="Times New Roman" w:cs="Times New Roman"/>
          <w:color w:val="000000" w:themeColor="text1"/>
          <w:sz w:val="24"/>
          <w:szCs w:val="24"/>
          <w:lang w:val="ro-MD"/>
        </w:rPr>
        <w:t xml:space="preserve">1) </w:t>
      </w:r>
      <w:r w:rsidR="00CA27C5" w:rsidRPr="00CA27C5">
        <w:rPr>
          <w:rFonts w:ascii="Times New Roman" w:eastAsia="Times New Roman" w:hAnsi="Times New Roman" w:cs="Times New Roman"/>
          <w:color w:val="000000" w:themeColor="text1"/>
          <w:sz w:val="24"/>
          <w:szCs w:val="24"/>
          <w:lang w:val="ro-MD"/>
        </w:rPr>
        <w:t>abordarea standardizată pentru riscul de credit al contrapărții;</w:t>
      </w:r>
    </w:p>
    <w:p w14:paraId="6A6B5EB8" w14:textId="6AC1BA9C" w:rsidR="00CA27C5" w:rsidRPr="00CA27C5" w:rsidRDefault="00CA27C5" w:rsidP="00CA27C5">
      <w:pPr>
        <w:spacing w:after="0" w:line="240" w:lineRule="auto"/>
        <w:ind w:firstLine="567"/>
        <w:jc w:val="both"/>
        <w:rPr>
          <w:rFonts w:ascii="Times New Roman" w:eastAsia="Times New Roman" w:hAnsi="Times New Roman" w:cs="Times New Roman"/>
          <w:color w:val="000000" w:themeColor="text1"/>
          <w:sz w:val="24"/>
          <w:szCs w:val="24"/>
          <w:lang w:val="ro-MD"/>
        </w:rPr>
      </w:pPr>
      <w:r w:rsidRPr="00CA27C5">
        <w:rPr>
          <w:rFonts w:ascii="Times New Roman" w:eastAsia="Times New Roman" w:hAnsi="Times New Roman" w:cs="Times New Roman"/>
          <w:color w:val="000000" w:themeColor="text1"/>
          <w:sz w:val="24"/>
          <w:szCs w:val="24"/>
          <w:lang w:val="ro-MD"/>
        </w:rPr>
        <w:t>2) abordarea standardizată simplificată pentru riscul de credit al contrapărții;</w:t>
      </w:r>
    </w:p>
    <w:p w14:paraId="4976AC86" w14:textId="01FC5FE9" w:rsidR="00A718BE" w:rsidRPr="00CA27C5" w:rsidRDefault="00CA27C5" w:rsidP="00A718BE">
      <w:pPr>
        <w:spacing w:after="0" w:line="240" w:lineRule="auto"/>
        <w:ind w:firstLine="567"/>
        <w:jc w:val="both"/>
        <w:rPr>
          <w:rFonts w:ascii="Times New Roman" w:eastAsia="Times New Roman" w:hAnsi="Times New Roman" w:cs="Times New Roman"/>
          <w:color w:val="000000" w:themeColor="text1"/>
          <w:sz w:val="24"/>
          <w:szCs w:val="24"/>
          <w:lang w:val="ro-MD"/>
        </w:rPr>
      </w:pPr>
      <w:r w:rsidRPr="00CA27C5">
        <w:rPr>
          <w:rFonts w:ascii="Times New Roman" w:eastAsia="Times New Roman" w:hAnsi="Times New Roman" w:cs="Times New Roman"/>
          <w:color w:val="000000" w:themeColor="text1"/>
          <w:sz w:val="24"/>
          <w:szCs w:val="24"/>
          <w:lang w:val="ro-MD"/>
        </w:rPr>
        <w:t>3</w:t>
      </w:r>
      <w:r w:rsidR="00A718BE" w:rsidRPr="00CA27C5">
        <w:rPr>
          <w:rFonts w:ascii="Times New Roman" w:eastAsia="Times New Roman" w:hAnsi="Times New Roman" w:cs="Times New Roman"/>
          <w:color w:val="000000" w:themeColor="text1"/>
          <w:sz w:val="24"/>
          <w:szCs w:val="24"/>
          <w:lang w:val="ro-MD"/>
        </w:rPr>
        <w:t>) metoda expunerii iniţiale</w:t>
      </w:r>
      <w:r>
        <w:rPr>
          <w:rFonts w:ascii="Times New Roman" w:eastAsia="Times New Roman" w:hAnsi="Times New Roman" w:cs="Times New Roman"/>
          <w:color w:val="000000" w:themeColor="text1"/>
          <w:sz w:val="24"/>
          <w:szCs w:val="24"/>
          <w:lang w:val="ro-MD"/>
        </w:rPr>
        <w:t>.</w:t>
      </w:r>
    </w:p>
    <w:bookmarkEnd w:id="1"/>
    <w:p w14:paraId="51D0DA40" w14:textId="17B74640" w:rsidR="00ED08B8" w:rsidRPr="00CA27C5" w:rsidRDefault="00ED08B8" w:rsidP="00CA27C5">
      <w:pPr>
        <w:spacing w:after="0" w:line="240" w:lineRule="auto"/>
        <w:ind w:firstLine="567"/>
        <w:jc w:val="center"/>
        <w:rPr>
          <w:rFonts w:ascii="Times New Roman" w:eastAsia="Times New Roman" w:hAnsi="Times New Roman" w:cs="Times New Roman"/>
          <w:i/>
          <w:iCs/>
          <w:color w:val="000000" w:themeColor="text1"/>
          <w:sz w:val="24"/>
          <w:szCs w:val="24"/>
          <w:lang w:val="ro-MD"/>
        </w:rPr>
      </w:pPr>
      <w:r w:rsidRPr="00CA27C5">
        <w:rPr>
          <w:rFonts w:ascii="Times New Roman" w:eastAsia="Times New Roman" w:hAnsi="Times New Roman" w:cs="Times New Roman"/>
          <w:i/>
          <w:iCs/>
          <w:color w:val="000000" w:themeColor="text1"/>
          <w:sz w:val="24"/>
          <w:szCs w:val="24"/>
          <w:lang w:val="ro-MD"/>
        </w:rPr>
        <w:t>Secțiunea</w:t>
      </w:r>
      <w:r w:rsidR="002458F0">
        <w:rPr>
          <w:rFonts w:ascii="Times New Roman" w:eastAsia="Times New Roman" w:hAnsi="Times New Roman" w:cs="Times New Roman"/>
          <w:i/>
          <w:iCs/>
          <w:color w:val="000000" w:themeColor="text1"/>
          <w:sz w:val="24"/>
          <w:szCs w:val="24"/>
          <w:lang w:val="ro-MD"/>
        </w:rPr>
        <w:t xml:space="preserve"> a</w:t>
      </w:r>
      <w:r w:rsidRPr="00CA27C5">
        <w:rPr>
          <w:rFonts w:ascii="Times New Roman" w:eastAsia="Times New Roman" w:hAnsi="Times New Roman" w:cs="Times New Roman"/>
          <w:i/>
          <w:iCs/>
          <w:color w:val="000000" w:themeColor="text1"/>
          <w:sz w:val="24"/>
          <w:szCs w:val="24"/>
          <w:lang w:val="ro-MD"/>
        </w:rPr>
        <w:t xml:space="preserve"> </w:t>
      </w:r>
      <w:r>
        <w:rPr>
          <w:rFonts w:ascii="Times New Roman" w:eastAsia="Times New Roman" w:hAnsi="Times New Roman" w:cs="Times New Roman"/>
          <w:i/>
          <w:iCs/>
          <w:color w:val="000000" w:themeColor="text1"/>
          <w:sz w:val="24"/>
          <w:szCs w:val="24"/>
          <w:lang w:val="ro-MD"/>
        </w:rPr>
        <w:t>2</w:t>
      </w:r>
      <w:r w:rsidR="002458F0">
        <w:rPr>
          <w:rFonts w:ascii="Times New Roman" w:eastAsia="Times New Roman" w:hAnsi="Times New Roman" w:cs="Times New Roman"/>
          <w:i/>
          <w:iCs/>
          <w:color w:val="000000" w:themeColor="text1"/>
          <w:sz w:val="24"/>
          <w:szCs w:val="24"/>
          <w:lang w:val="ro-MD"/>
        </w:rPr>
        <w:t xml:space="preserve">-a </w:t>
      </w:r>
    </w:p>
    <w:p w14:paraId="4D6AE7B0" w14:textId="5451A0D7" w:rsidR="00ED08B8" w:rsidRPr="00CA27C5" w:rsidRDefault="00ED08B8" w:rsidP="00CA27C5">
      <w:pPr>
        <w:spacing w:after="0" w:line="240" w:lineRule="auto"/>
        <w:ind w:firstLine="567"/>
        <w:jc w:val="center"/>
        <w:rPr>
          <w:rFonts w:ascii="Times New Roman" w:eastAsia="Times New Roman" w:hAnsi="Times New Roman" w:cs="Times New Roman"/>
          <w:b/>
          <w:bCs/>
          <w:color w:val="000000" w:themeColor="text1"/>
          <w:sz w:val="24"/>
          <w:szCs w:val="24"/>
          <w:highlight w:val="green"/>
          <w:lang w:val="ro-MD"/>
        </w:rPr>
      </w:pPr>
      <w:r w:rsidRPr="00CA27C5">
        <w:rPr>
          <w:rFonts w:ascii="Times New Roman" w:eastAsia="Times New Roman" w:hAnsi="Times New Roman" w:cs="Times New Roman"/>
          <w:b/>
          <w:bCs/>
          <w:color w:val="000000" w:themeColor="text1"/>
          <w:sz w:val="24"/>
          <w:szCs w:val="24"/>
          <w:lang w:val="ro-MD"/>
        </w:rPr>
        <w:t>Metode de calcul al valorii expunerii</w:t>
      </w:r>
    </w:p>
    <w:p w14:paraId="7912BC4B" w14:textId="5543D17A" w:rsidR="00A718BE" w:rsidRPr="00CA27C5" w:rsidRDefault="00A718BE" w:rsidP="00A718BE">
      <w:pPr>
        <w:spacing w:after="0" w:line="240" w:lineRule="auto"/>
        <w:ind w:firstLine="567"/>
        <w:jc w:val="both"/>
        <w:rPr>
          <w:rFonts w:ascii="Times New Roman" w:eastAsia="Times New Roman" w:hAnsi="Times New Roman" w:cs="Times New Roman"/>
          <w:sz w:val="24"/>
          <w:szCs w:val="24"/>
          <w:highlight w:val="green"/>
          <w:lang w:val="ro-MD"/>
        </w:rPr>
      </w:pPr>
      <w:r w:rsidRPr="00CA27C5">
        <w:rPr>
          <w:rFonts w:ascii="Times New Roman" w:eastAsia="Times New Roman" w:hAnsi="Times New Roman" w:cs="Times New Roman"/>
          <w:b/>
          <w:bCs/>
          <w:sz w:val="24"/>
          <w:szCs w:val="24"/>
          <w:lang w:val="ro-MD"/>
        </w:rPr>
        <w:t>6.</w:t>
      </w:r>
      <w:r w:rsidRPr="00CA27C5">
        <w:rPr>
          <w:rFonts w:ascii="Times New Roman" w:eastAsia="Times New Roman" w:hAnsi="Times New Roman" w:cs="Times New Roman"/>
          <w:sz w:val="24"/>
          <w:szCs w:val="24"/>
          <w:lang w:val="ro-MD"/>
        </w:rPr>
        <w:t xml:space="preserve"> Banca </w:t>
      </w:r>
      <w:r w:rsidR="00933CA2" w:rsidRPr="00CA27C5">
        <w:rPr>
          <w:rFonts w:ascii="Times New Roman" w:eastAsia="Times New Roman" w:hAnsi="Times New Roman" w:cs="Times New Roman"/>
          <w:sz w:val="24"/>
          <w:szCs w:val="24"/>
          <w:lang w:val="ro-MD"/>
        </w:rPr>
        <w:t xml:space="preserve">calculează </w:t>
      </w:r>
      <w:r w:rsidRPr="00CA27C5">
        <w:rPr>
          <w:rFonts w:ascii="Times New Roman" w:eastAsia="Times New Roman" w:hAnsi="Times New Roman" w:cs="Times New Roman"/>
          <w:sz w:val="24"/>
          <w:szCs w:val="24"/>
          <w:lang w:val="ro-MD"/>
        </w:rPr>
        <w:t>valoarea expunerii pentru contractele menţionate în anexa nr.1 la Regulamentul nr.114/2018 cu privire la tratamentul riscului de piaţă potrivit abordării standardizate, pe baza uneia dintre metodele prevăzute în capitolele III-V şi în conformitate cu prezentul capitol.</w:t>
      </w:r>
    </w:p>
    <w:p w14:paraId="2E04748A" w14:textId="28D0C7AA" w:rsidR="00AC2033" w:rsidRPr="00A718BE" w:rsidRDefault="00AC2033" w:rsidP="002A0D6A">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7.</w:t>
      </w:r>
      <w:r>
        <w:rPr>
          <w:rFonts w:ascii="Times New Roman" w:eastAsia="Times New Roman" w:hAnsi="Times New Roman" w:cs="Times New Roman"/>
          <w:sz w:val="24"/>
          <w:szCs w:val="24"/>
          <w:lang w:val="ro-MD"/>
        </w:rPr>
        <w:t xml:space="preserve"> </w:t>
      </w:r>
      <w:r w:rsidRPr="00AC2033">
        <w:rPr>
          <w:rFonts w:ascii="Times New Roman" w:eastAsia="Times New Roman" w:hAnsi="Times New Roman" w:cs="Times New Roman"/>
          <w:sz w:val="24"/>
          <w:szCs w:val="24"/>
          <w:lang w:val="ro-MD"/>
        </w:rPr>
        <w:t xml:space="preserve">O </w:t>
      </w:r>
      <w:r>
        <w:rPr>
          <w:rFonts w:ascii="Times New Roman" w:eastAsia="Times New Roman" w:hAnsi="Times New Roman" w:cs="Times New Roman"/>
          <w:sz w:val="24"/>
          <w:szCs w:val="24"/>
          <w:lang w:val="ro-MD"/>
        </w:rPr>
        <w:t>bancă</w:t>
      </w:r>
      <w:r w:rsidRPr="00AC2033">
        <w:rPr>
          <w:rFonts w:ascii="Times New Roman" w:eastAsia="Times New Roman" w:hAnsi="Times New Roman" w:cs="Times New Roman"/>
          <w:sz w:val="24"/>
          <w:szCs w:val="24"/>
          <w:lang w:val="ro-MD"/>
        </w:rPr>
        <w:t xml:space="preserve"> care nu îndeplinește condiţiile prevăzute la </w:t>
      </w:r>
      <w:r w:rsidR="00ED08B8">
        <w:rPr>
          <w:rFonts w:ascii="Times New Roman" w:eastAsia="Times New Roman" w:hAnsi="Times New Roman" w:cs="Times New Roman"/>
          <w:sz w:val="24"/>
          <w:szCs w:val="24"/>
          <w:lang w:val="ro-MD"/>
        </w:rPr>
        <w:t>punctul 2</w:t>
      </w:r>
      <w:r w:rsidR="001C3923">
        <w:rPr>
          <w:rFonts w:ascii="Times New Roman" w:eastAsia="Times New Roman" w:hAnsi="Times New Roman" w:cs="Times New Roman"/>
          <w:sz w:val="24"/>
          <w:szCs w:val="24"/>
          <w:lang w:val="ro-MD"/>
        </w:rPr>
        <w:t>1</w:t>
      </w:r>
      <w:r w:rsidRPr="00AC2033">
        <w:rPr>
          <w:rFonts w:ascii="Times New Roman" w:eastAsia="Times New Roman" w:hAnsi="Times New Roman" w:cs="Times New Roman"/>
          <w:sz w:val="24"/>
          <w:szCs w:val="24"/>
          <w:lang w:val="ro-MD"/>
        </w:rPr>
        <w:t xml:space="preserve"> nu utilizează metoda prevăzută în </w:t>
      </w:r>
      <w:r w:rsidR="00C37CB4">
        <w:rPr>
          <w:rFonts w:ascii="Times New Roman" w:eastAsia="Times New Roman" w:hAnsi="Times New Roman" w:cs="Times New Roman"/>
          <w:sz w:val="24"/>
          <w:szCs w:val="24"/>
          <w:lang w:val="ro-MD"/>
        </w:rPr>
        <w:t>c</w:t>
      </w:r>
      <w:r w:rsidR="002A0D6A" w:rsidRPr="002A0D6A">
        <w:rPr>
          <w:rFonts w:ascii="Times New Roman" w:eastAsia="Times New Roman" w:hAnsi="Times New Roman" w:cs="Times New Roman"/>
          <w:sz w:val="24"/>
          <w:szCs w:val="24"/>
          <w:lang w:val="ro-MD"/>
        </w:rPr>
        <w:t>apitolul I</w:t>
      </w:r>
      <w:r w:rsidR="002A0D6A">
        <w:rPr>
          <w:rFonts w:ascii="Times New Roman" w:eastAsia="Times New Roman" w:hAnsi="Times New Roman" w:cs="Times New Roman"/>
          <w:sz w:val="24"/>
          <w:szCs w:val="24"/>
          <w:lang w:val="ro-MD"/>
        </w:rPr>
        <w:t>V din prezentul regulament.</w:t>
      </w:r>
      <w:r w:rsidRPr="00AC2033">
        <w:rPr>
          <w:rFonts w:ascii="Times New Roman" w:eastAsia="Times New Roman" w:hAnsi="Times New Roman" w:cs="Times New Roman"/>
          <w:sz w:val="24"/>
          <w:szCs w:val="24"/>
          <w:lang w:val="ro-MD"/>
        </w:rPr>
        <w:t xml:space="preserve"> O </w:t>
      </w:r>
      <w:r>
        <w:rPr>
          <w:rFonts w:ascii="Times New Roman" w:eastAsia="Times New Roman" w:hAnsi="Times New Roman" w:cs="Times New Roman"/>
          <w:sz w:val="24"/>
          <w:szCs w:val="24"/>
          <w:lang w:val="ro-MD"/>
        </w:rPr>
        <w:t xml:space="preserve">bancă </w:t>
      </w:r>
      <w:r w:rsidRPr="00AC2033">
        <w:rPr>
          <w:rFonts w:ascii="Times New Roman" w:eastAsia="Times New Roman" w:hAnsi="Times New Roman" w:cs="Times New Roman"/>
          <w:sz w:val="24"/>
          <w:szCs w:val="24"/>
          <w:lang w:val="ro-MD"/>
        </w:rPr>
        <w:t xml:space="preserve">care nu îndeplinește condiţiile prevăzute la </w:t>
      </w:r>
      <w:r w:rsidR="001612E0">
        <w:rPr>
          <w:rFonts w:ascii="Times New Roman" w:eastAsia="Times New Roman" w:hAnsi="Times New Roman" w:cs="Times New Roman"/>
          <w:sz w:val="24"/>
          <w:szCs w:val="24"/>
          <w:lang w:val="ro-MD"/>
        </w:rPr>
        <w:t>punctul 2</w:t>
      </w:r>
      <w:r w:rsidR="001C3923">
        <w:rPr>
          <w:rFonts w:ascii="Times New Roman" w:eastAsia="Times New Roman" w:hAnsi="Times New Roman" w:cs="Times New Roman"/>
          <w:sz w:val="24"/>
          <w:szCs w:val="24"/>
          <w:lang w:val="ro-MD"/>
        </w:rPr>
        <w:t>2</w:t>
      </w:r>
      <w:r w:rsidRPr="00AC2033">
        <w:rPr>
          <w:rFonts w:ascii="Times New Roman" w:eastAsia="Times New Roman" w:hAnsi="Times New Roman" w:cs="Times New Roman"/>
          <w:sz w:val="24"/>
          <w:szCs w:val="24"/>
          <w:lang w:val="ro-MD"/>
        </w:rPr>
        <w:t xml:space="preserve"> nu utilizează metoda prevăzută în </w:t>
      </w:r>
      <w:r w:rsidR="001612E0">
        <w:rPr>
          <w:rFonts w:ascii="Times New Roman" w:eastAsia="Times New Roman" w:hAnsi="Times New Roman" w:cs="Times New Roman"/>
          <w:sz w:val="24"/>
          <w:szCs w:val="24"/>
          <w:lang w:val="ro-MD"/>
        </w:rPr>
        <w:t>capitolul V.</w:t>
      </w:r>
    </w:p>
    <w:p w14:paraId="619927E8"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1612E0">
        <w:rPr>
          <w:rFonts w:ascii="Times New Roman" w:eastAsia="Times New Roman" w:hAnsi="Times New Roman" w:cs="Times New Roman"/>
          <w:b/>
          <w:bCs/>
          <w:sz w:val="24"/>
          <w:szCs w:val="24"/>
          <w:lang w:val="ro-MD"/>
        </w:rPr>
        <w:t>8.</w:t>
      </w:r>
      <w:r w:rsidRPr="001612E0">
        <w:rPr>
          <w:rFonts w:ascii="Times New Roman" w:eastAsia="Times New Roman" w:hAnsi="Times New Roman" w:cs="Times New Roman"/>
          <w:sz w:val="24"/>
          <w:szCs w:val="24"/>
          <w:lang w:val="ro-MD"/>
        </w:rPr>
        <w:t xml:space="preserve"> Băncile pot utiliza combinat metodele prevăzute în capitolele III-V, în mod permanent, în cadrul unui grup astfel cum este definit în Legea nr.250/2017 cu privire la supravegherea suplimentară a băncilor, asigurătorilor/reasigurătorilor şi a societăţilor de investiţii care aparţin unui conglomerat financiar.</w:t>
      </w:r>
    </w:p>
    <w:p w14:paraId="4B9CD63B" w14:textId="5E4A8725"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33C1E">
        <w:rPr>
          <w:rFonts w:ascii="Times New Roman" w:eastAsia="Times New Roman" w:hAnsi="Times New Roman" w:cs="Times New Roman"/>
          <w:b/>
          <w:bCs/>
          <w:sz w:val="24"/>
          <w:szCs w:val="24"/>
          <w:lang w:val="ro-MD"/>
        </w:rPr>
        <w:t>9.</w:t>
      </w:r>
      <w:r w:rsidRPr="00A33C1E">
        <w:rPr>
          <w:rFonts w:ascii="Times New Roman" w:eastAsia="Times New Roman" w:hAnsi="Times New Roman" w:cs="Times New Roman"/>
          <w:sz w:val="24"/>
          <w:szCs w:val="24"/>
          <w:lang w:val="ro-MD"/>
        </w:rPr>
        <w:t xml:space="preserve"> Banca nu trebuie să utilizeze combinat</w:t>
      </w:r>
      <w:r w:rsidR="00CE04D5" w:rsidRPr="00A33C1E">
        <w:rPr>
          <w:rFonts w:ascii="Times New Roman" w:eastAsia="Times New Roman" w:hAnsi="Times New Roman" w:cs="Times New Roman"/>
          <w:sz w:val="24"/>
          <w:szCs w:val="24"/>
          <w:lang w:val="ro-MD"/>
        </w:rPr>
        <w:t xml:space="preserve"> </w:t>
      </w:r>
      <w:r w:rsidRPr="00A33C1E">
        <w:rPr>
          <w:rFonts w:ascii="Times New Roman" w:eastAsia="Times New Roman" w:hAnsi="Times New Roman" w:cs="Times New Roman"/>
          <w:sz w:val="24"/>
          <w:szCs w:val="24"/>
          <w:lang w:val="ro-MD"/>
        </w:rPr>
        <w:t>metodele prevăzute în capitolele III-V</w:t>
      </w:r>
      <w:r w:rsidR="00CE04D5" w:rsidRPr="00A33C1E">
        <w:rPr>
          <w:rFonts w:ascii="Times New Roman" w:eastAsia="Times New Roman" w:hAnsi="Times New Roman" w:cs="Times New Roman"/>
          <w:sz w:val="24"/>
          <w:szCs w:val="24"/>
          <w:lang w:val="ro-MD"/>
        </w:rPr>
        <w:t xml:space="preserve"> în mod permanent.</w:t>
      </w:r>
    </w:p>
    <w:p w14:paraId="5AD3854D" w14:textId="787A6CC0"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33C1E">
        <w:rPr>
          <w:rFonts w:ascii="Times New Roman" w:eastAsia="Times New Roman" w:hAnsi="Times New Roman" w:cs="Times New Roman"/>
          <w:b/>
          <w:bCs/>
          <w:sz w:val="24"/>
          <w:szCs w:val="24"/>
          <w:lang w:val="ro-MD"/>
        </w:rPr>
        <w:lastRenderedPageBreak/>
        <w:t>10.</w:t>
      </w:r>
      <w:r w:rsidRPr="00A33C1E">
        <w:rPr>
          <w:rFonts w:ascii="Times New Roman" w:eastAsia="Times New Roman" w:hAnsi="Times New Roman" w:cs="Times New Roman"/>
          <w:sz w:val="24"/>
          <w:szCs w:val="24"/>
          <w:lang w:val="ro-MD"/>
        </w:rPr>
        <w:t xml:space="preserve"> Dacă banca achiziţionează protecţie prin intermediul unui instrument financiar derivat de credit pentru a acoperi o expunere din afara portofoliului de tranzacţionare sau o expunere la riscul de credit al contrapărţii, aceasta poate calcula cerinţa de fonduri proprii pentru expunerea acoperită împotriva riscurilor în conformitate cu capitolul IX din Regulamentul nr.112/2018 cu privire la tehnicile de diminuare a riscului de credit utilizate de bănci. Valoarea expunerii la riscul de credit al contrapărţii pentru aceste instrumente financiare derivate de credit este zero, cu excepţia cazului în care banca aplică abordarea prevăzută la punctul </w:t>
      </w:r>
      <w:r w:rsidR="00A33C1E" w:rsidRPr="00CA27C5">
        <w:rPr>
          <w:rFonts w:ascii="Times New Roman" w:eastAsia="Times New Roman" w:hAnsi="Times New Roman" w:cs="Times New Roman"/>
          <w:sz w:val="24"/>
          <w:szCs w:val="24"/>
          <w:lang w:val="ro-MD"/>
        </w:rPr>
        <w:t>10</w:t>
      </w:r>
      <w:r w:rsidR="001C3923">
        <w:rPr>
          <w:rFonts w:ascii="Times New Roman" w:eastAsia="Times New Roman" w:hAnsi="Times New Roman" w:cs="Times New Roman"/>
          <w:sz w:val="24"/>
          <w:szCs w:val="24"/>
          <w:lang w:val="ro-MD"/>
        </w:rPr>
        <w:t>4</w:t>
      </w:r>
      <w:r w:rsidR="00A33C1E" w:rsidRPr="00A33C1E">
        <w:rPr>
          <w:rFonts w:ascii="Times New Roman" w:eastAsia="Times New Roman" w:hAnsi="Times New Roman" w:cs="Times New Roman"/>
          <w:sz w:val="24"/>
          <w:szCs w:val="24"/>
          <w:lang w:val="ro-MD"/>
        </w:rPr>
        <w:t xml:space="preserve"> </w:t>
      </w:r>
      <w:r w:rsidRPr="00A33C1E">
        <w:rPr>
          <w:rFonts w:ascii="Times New Roman" w:eastAsia="Times New Roman" w:hAnsi="Times New Roman" w:cs="Times New Roman"/>
          <w:sz w:val="24"/>
          <w:szCs w:val="24"/>
          <w:lang w:val="ro-MD"/>
        </w:rPr>
        <w:t>subpunctul 2).</w:t>
      </w:r>
    </w:p>
    <w:p w14:paraId="7FADBC13"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33C1E">
        <w:rPr>
          <w:rFonts w:ascii="Times New Roman" w:eastAsia="Times New Roman" w:hAnsi="Times New Roman" w:cs="Times New Roman"/>
          <w:b/>
          <w:bCs/>
          <w:sz w:val="24"/>
          <w:szCs w:val="24"/>
          <w:lang w:val="ro-MD"/>
        </w:rPr>
        <w:t>11.</w:t>
      </w:r>
      <w:r w:rsidRPr="00A33C1E">
        <w:rPr>
          <w:rFonts w:ascii="Times New Roman" w:eastAsia="Times New Roman" w:hAnsi="Times New Roman" w:cs="Times New Roman"/>
          <w:sz w:val="24"/>
          <w:szCs w:val="24"/>
          <w:lang w:val="ro-MD"/>
        </w:rPr>
        <w:t xml:space="preserve"> Prin derogare de la prevederile punctului 10, banca poate decide să includă, în mod consecvent, în calculul cerinţelor de fonduri proprii pentru riscul de credit al contrapărţii toate instrumentele financiare derivate de credit care nu sunt incluse în portofoliul de tranzacţionare şi sunt achiziţionate ca protecţie pentru acoperirea unei expuneri din afara portofoliului de tranzacţionare sau a unei expuneri la riscul de credit al contrapărţii, dacă protecţia creditului este recunoscută în temeiul Regulamentului nr.112/2018 cu privire la tehnicile de diminuare a riscului de credit şi al prezentului regulament.</w:t>
      </w:r>
    </w:p>
    <w:p w14:paraId="471534B1" w14:textId="78D7AA3D"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A33C1E">
        <w:rPr>
          <w:rFonts w:ascii="Times New Roman" w:eastAsia="Times New Roman" w:hAnsi="Times New Roman" w:cs="Times New Roman"/>
          <w:b/>
          <w:bCs/>
          <w:sz w:val="24"/>
          <w:szCs w:val="24"/>
          <w:lang w:val="ro-MD"/>
        </w:rPr>
        <w:t>12.</w:t>
      </w:r>
      <w:r w:rsidRPr="00A33C1E">
        <w:rPr>
          <w:rFonts w:ascii="Times New Roman" w:eastAsia="Times New Roman" w:hAnsi="Times New Roman" w:cs="Times New Roman"/>
          <w:sz w:val="24"/>
          <w:szCs w:val="24"/>
          <w:lang w:val="ro-MD"/>
        </w:rPr>
        <w:t xml:space="preserve"> Dacă instrumentele de tip credit default swap vândute de bancă sunt tratate ca protecţie a creditului furnizată de aceasta şi fac obiectul unei cerinţe de fonduri proprii pentru riscul de credit al activului suport la </w:t>
      </w:r>
      <w:r w:rsidR="00192360" w:rsidRPr="00A33C1E">
        <w:rPr>
          <w:rFonts w:ascii="Times New Roman" w:eastAsia="Times New Roman" w:hAnsi="Times New Roman" w:cs="Times New Roman"/>
          <w:sz w:val="24"/>
          <w:szCs w:val="24"/>
          <w:lang w:val="ro-MD"/>
        </w:rPr>
        <w:t>întregul</w:t>
      </w:r>
      <w:r w:rsidRPr="00A33C1E">
        <w:rPr>
          <w:rFonts w:ascii="Times New Roman" w:eastAsia="Times New Roman" w:hAnsi="Times New Roman" w:cs="Times New Roman"/>
          <w:sz w:val="24"/>
          <w:szCs w:val="24"/>
          <w:lang w:val="ro-MD"/>
        </w:rPr>
        <w:t xml:space="preserve"> </w:t>
      </w:r>
      <w:r w:rsidR="00192360" w:rsidRPr="00A33C1E">
        <w:rPr>
          <w:rFonts w:ascii="Times New Roman" w:eastAsia="Times New Roman" w:hAnsi="Times New Roman" w:cs="Times New Roman"/>
          <w:sz w:val="24"/>
          <w:szCs w:val="24"/>
          <w:lang w:val="ro-MD"/>
        </w:rPr>
        <w:t xml:space="preserve">cuantum </w:t>
      </w:r>
      <w:r w:rsidRPr="00A33C1E">
        <w:rPr>
          <w:rFonts w:ascii="Times New Roman" w:eastAsia="Times New Roman" w:hAnsi="Times New Roman" w:cs="Times New Roman"/>
          <w:sz w:val="24"/>
          <w:szCs w:val="24"/>
          <w:lang w:val="ro-MD"/>
        </w:rPr>
        <w:t>noţional, valoarea expunerii acestor instrumente la riscul de credit al contrapărţii în afara portofoliului de tranzacţionare este zero.</w:t>
      </w:r>
    </w:p>
    <w:p w14:paraId="085AFEE9" w14:textId="3508CDC8" w:rsidR="00BA39CB" w:rsidRDefault="00A718BE" w:rsidP="00A718BE">
      <w:pPr>
        <w:spacing w:after="0" w:line="240" w:lineRule="auto"/>
        <w:ind w:firstLine="567"/>
        <w:jc w:val="both"/>
        <w:rPr>
          <w:rFonts w:ascii="Times New Roman" w:eastAsia="Times New Roman" w:hAnsi="Times New Roman" w:cs="Times New Roman"/>
          <w:sz w:val="24"/>
          <w:szCs w:val="24"/>
          <w:lang w:val="ro-MD"/>
        </w:rPr>
      </w:pPr>
      <w:r w:rsidRPr="00A33C1E">
        <w:rPr>
          <w:rFonts w:ascii="Times New Roman" w:eastAsia="Times New Roman" w:hAnsi="Times New Roman" w:cs="Times New Roman"/>
          <w:b/>
          <w:bCs/>
          <w:sz w:val="24"/>
          <w:szCs w:val="24"/>
          <w:lang w:val="ro-MD"/>
        </w:rPr>
        <w:t>13.</w:t>
      </w:r>
      <w:r w:rsidRPr="00A33C1E">
        <w:rPr>
          <w:rFonts w:ascii="Times New Roman" w:eastAsia="Times New Roman" w:hAnsi="Times New Roman" w:cs="Times New Roman"/>
          <w:sz w:val="24"/>
          <w:szCs w:val="24"/>
          <w:lang w:val="ro-MD"/>
        </w:rPr>
        <w:t xml:space="preserve"> În cadrul metodelor prevăzute în capitolele III-V, valoarea expunerii pentru o anumită contraparte este egală cu suma valorilor expunerilor calculate pentru fiecare set de compensare cu contrapartea respectivă.</w:t>
      </w:r>
      <w:r w:rsidR="00192360">
        <w:rPr>
          <w:rFonts w:ascii="Times New Roman" w:eastAsia="Times New Roman" w:hAnsi="Times New Roman" w:cs="Times New Roman"/>
          <w:sz w:val="24"/>
          <w:szCs w:val="24"/>
          <w:lang w:val="ro-MD"/>
        </w:rPr>
        <w:t xml:space="preserve"> </w:t>
      </w:r>
    </w:p>
    <w:p w14:paraId="139333A9" w14:textId="5FCC22F5" w:rsidR="00A718BE" w:rsidRPr="00A718BE" w:rsidRDefault="001C3923" w:rsidP="00A718BE">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14.</w:t>
      </w:r>
      <w:r>
        <w:rPr>
          <w:rFonts w:ascii="Times New Roman" w:eastAsia="Times New Roman" w:hAnsi="Times New Roman" w:cs="Times New Roman"/>
          <w:sz w:val="24"/>
          <w:szCs w:val="24"/>
          <w:lang w:val="ro-MD"/>
        </w:rPr>
        <w:t xml:space="preserve"> </w:t>
      </w:r>
      <w:r w:rsidR="00192360" w:rsidRPr="00192360">
        <w:rPr>
          <w:rFonts w:ascii="Times New Roman" w:eastAsia="Times New Roman" w:hAnsi="Times New Roman" w:cs="Times New Roman"/>
          <w:sz w:val="24"/>
          <w:szCs w:val="24"/>
          <w:lang w:val="ro-MD"/>
        </w:rPr>
        <w:t xml:space="preserve">Prin derogare de la </w:t>
      </w:r>
      <w:r>
        <w:rPr>
          <w:rFonts w:ascii="Times New Roman" w:eastAsia="Times New Roman" w:hAnsi="Times New Roman" w:cs="Times New Roman"/>
          <w:sz w:val="24"/>
          <w:szCs w:val="24"/>
          <w:lang w:val="ro-MD"/>
        </w:rPr>
        <w:t>prevederile punctului 13</w:t>
      </w:r>
      <w:r w:rsidR="00192360" w:rsidRPr="00192360">
        <w:rPr>
          <w:rFonts w:ascii="Times New Roman" w:eastAsia="Times New Roman" w:hAnsi="Times New Roman" w:cs="Times New Roman"/>
          <w:sz w:val="24"/>
          <w:szCs w:val="24"/>
          <w:lang w:val="ro-MD"/>
        </w:rPr>
        <w:t xml:space="preserve">, în cazul în care un contract în marjă se aplică mai multor seturi de compensare cu contrapartea respectivă, iar </w:t>
      </w:r>
      <w:r w:rsidR="00082CBD">
        <w:rPr>
          <w:rFonts w:ascii="Times New Roman" w:eastAsia="Times New Roman" w:hAnsi="Times New Roman" w:cs="Times New Roman"/>
          <w:sz w:val="24"/>
          <w:szCs w:val="24"/>
          <w:lang w:val="ro-MD"/>
        </w:rPr>
        <w:t>banca</w:t>
      </w:r>
      <w:r w:rsidR="00082CBD" w:rsidRPr="00192360">
        <w:rPr>
          <w:rFonts w:ascii="Times New Roman" w:eastAsia="Times New Roman" w:hAnsi="Times New Roman" w:cs="Times New Roman"/>
          <w:sz w:val="24"/>
          <w:szCs w:val="24"/>
          <w:lang w:val="ro-MD"/>
        </w:rPr>
        <w:t xml:space="preserve"> </w:t>
      </w:r>
      <w:r w:rsidR="00192360" w:rsidRPr="00192360">
        <w:rPr>
          <w:rFonts w:ascii="Times New Roman" w:eastAsia="Times New Roman" w:hAnsi="Times New Roman" w:cs="Times New Roman"/>
          <w:sz w:val="24"/>
          <w:szCs w:val="24"/>
          <w:lang w:val="ro-MD"/>
        </w:rPr>
        <w:t xml:space="preserve">utilizează una dintre metodele prevăzute </w:t>
      </w:r>
      <w:r w:rsidR="00192360" w:rsidRPr="00BA39CB">
        <w:rPr>
          <w:rFonts w:ascii="Times New Roman" w:eastAsia="Times New Roman" w:hAnsi="Times New Roman" w:cs="Times New Roman"/>
          <w:sz w:val="24"/>
          <w:szCs w:val="24"/>
          <w:lang w:val="ro-MD"/>
        </w:rPr>
        <w:t xml:space="preserve">în </w:t>
      </w:r>
      <w:r w:rsidR="00BA39CB" w:rsidRPr="00BA39CB">
        <w:rPr>
          <w:rFonts w:ascii="Times New Roman" w:eastAsia="Times New Roman" w:hAnsi="Times New Roman" w:cs="Times New Roman"/>
          <w:sz w:val="24"/>
          <w:szCs w:val="24"/>
          <w:lang w:val="ro-MD"/>
        </w:rPr>
        <w:t>capitolele</w:t>
      </w:r>
      <w:r w:rsidR="00BA39CB" w:rsidRPr="00A33C1E">
        <w:rPr>
          <w:rFonts w:ascii="Times New Roman" w:eastAsia="Times New Roman" w:hAnsi="Times New Roman" w:cs="Times New Roman"/>
          <w:sz w:val="24"/>
          <w:szCs w:val="24"/>
          <w:lang w:val="ro-MD"/>
        </w:rPr>
        <w:t xml:space="preserve"> III-V</w:t>
      </w:r>
      <w:r w:rsidR="00192360" w:rsidRPr="00192360">
        <w:rPr>
          <w:rFonts w:ascii="Times New Roman" w:eastAsia="Times New Roman" w:hAnsi="Times New Roman" w:cs="Times New Roman"/>
          <w:sz w:val="24"/>
          <w:szCs w:val="24"/>
          <w:lang w:val="ro-MD"/>
        </w:rPr>
        <w:t xml:space="preserve"> pentru a calcula valoarea expunerii acestor seturi de compensare, valoarea expunerii se calculează în conformitate cu secţiunea relevantă.</w:t>
      </w:r>
    </w:p>
    <w:p w14:paraId="11318734" w14:textId="3D626A37" w:rsidR="00A718BE" w:rsidRDefault="001C3923" w:rsidP="00A718BE">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15.</w:t>
      </w:r>
      <w:r w:rsidR="00A718BE" w:rsidRPr="002E17D0">
        <w:rPr>
          <w:rFonts w:ascii="Times New Roman" w:eastAsia="Times New Roman" w:hAnsi="Times New Roman" w:cs="Times New Roman"/>
          <w:sz w:val="24"/>
          <w:szCs w:val="24"/>
          <w:lang w:val="ro-MD"/>
        </w:rPr>
        <w:t xml:space="preserve"> Pentru o anumită contraparte, valoarea expunerii pentru un anumit set de compensare a instrumentelor financiare derivate extrabursiere enumerate în anexa nr.1 la Regulamentul nr.114/2018 cu privire la tratamentul riscului de piaţă potrivit abordării standardizate, calculată în conformitate cu prezentul regulament, este valoarea mai mare dintre zero şi diferenţa dintre suma valorilor expunerilor pentru toate seturile de compensare cu contrapartea şi suma valorilor ajustării evaluării creditului (CVA) pentru contrapartea respectivă, care este recunoscută de bancă ca fiind o reducere suportată a valorii contabile. Ajustările evaluării creditului, potrivit </w:t>
      </w:r>
      <w:r w:rsidR="00C37CB4">
        <w:rPr>
          <w:rFonts w:ascii="Times New Roman" w:eastAsia="Times New Roman" w:hAnsi="Times New Roman" w:cs="Times New Roman"/>
          <w:sz w:val="24"/>
          <w:szCs w:val="24"/>
          <w:lang w:val="ro-MD"/>
        </w:rPr>
        <w:t xml:space="preserve">punctului </w:t>
      </w:r>
      <w:r w:rsidR="00A718BE" w:rsidRPr="002E17D0">
        <w:rPr>
          <w:rFonts w:ascii="Times New Roman" w:eastAsia="Times New Roman" w:hAnsi="Times New Roman" w:cs="Times New Roman"/>
          <w:sz w:val="24"/>
          <w:szCs w:val="24"/>
          <w:lang w:val="ro-MD"/>
        </w:rPr>
        <w:t>3 din Regulamentul cu privire la tratamentul riscului de ajustare a evaluării creditului pentru bănci, se calculează fără să se ţină cont de nicio ajustare compensatoare a evaluării debitului atribuită propriului risc de credit al băncii care a fost deja exclusă din fondurile proprii în temeiul punctului 26 subpunctul 3) din Regulamentul nr.109/2018 cu privire la fondurile proprii ale băncilor şi cerinţele de capital.</w:t>
      </w:r>
    </w:p>
    <w:p w14:paraId="78B2B262" w14:textId="235AB47C" w:rsidR="00C729A0" w:rsidRPr="00C729A0" w:rsidRDefault="001C3923" w:rsidP="00C729A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16.</w:t>
      </w:r>
      <w:r w:rsidR="00C729A0">
        <w:rPr>
          <w:rFonts w:ascii="Times New Roman" w:eastAsia="Times New Roman" w:hAnsi="Times New Roman" w:cs="Times New Roman"/>
          <w:sz w:val="24"/>
          <w:szCs w:val="24"/>
          <w:lang w:val="ro-MD"/>
        </w:rPr>
        <w:t xml:space="preserve"> </w:t>
      </w:r>
      <w:r w:rsidR="00C729A0" w:rsidRPr="00C729A0">
        <w:rPr>
          <w:rFonts w:ascii="Times New Roman" w:eastAsia="Times New Roman" w:hAnsi="Times New Roman" w:cs="Times New Roman"/>
          <w:sz w:val="24"/>
          <w:szCs w:val="24"/>
          <w:lang w:val="ro-MD"/>
        </w:rPr>
        <w:t xml:space="preserve">Atunci când calculează valoarea expunerii în conformitate cu metodele prevăzute în </w:t>
      </w:r>
      <w:r w:rsidR="002E17D0" w:rsidRPr="00CA27C5">
        <w:rPr>
          <w:rFonts w:ascii="Times New Roman" w:eastAsia="Times New Roman" w:hAnsi="Times New Roman" w:cs="Times New Roman"/>
          <w:sz w:val="24"/>
          <w:szCs w:val="24"/>
          <w:lang w:val="ro-MD"/>
        </w:rPr>
        <w:t>capitolele III-V</w:t>
      </w:r>
      <w:r w:rsidR="00C729A0" w:rsidRPr="00C729A0">
        <w:rPr>
          <w:rFonts w:ascii="Times New Roman" w:eastAsia="Times New Roman" w:hAnsi="Times New Roman" w:cs="Times New Roman"/>
          <w:sz w:val="24"/>
          <w:szCs w:val="24"/>
          <w:lang w:val="ro-MD"/>
        </w:rPr>
        <w:t xml:space="preserve">, </w:t>
      </w:r>
      <w:r w:rsidR="00DA6A1E">
        <w:rPr>
          <w:rFonts w:ascii="Times New Roman" w:eastAsia="Times New Roman" w:hAnsi="Times New Roman" w:cs="Times New Roman"/>
          <w:sz w:val="24"/>
          <w:szCs w:val="24"/>
          <w:lang w:val="ro-MD"/>
        </w:rPr>
        <w:t>băncile</w:t>
      </w:r>
      <w:r w:rsidR="00C729A0" w:rsidRPr="00C729A0">
        <w:rPr>
          <w:rFonts w:ascii="Times New Roman" w:eastAsia="Times New Roman" w:hAnsi="Times New Roman" w:cs="Times New Roman"/>
          <w:sz w:val="24"/>
          <w:szCs w:val="24"/>
          <w:lang w:val="ro-MD"/>
        </w:rPr>
        <w:t xml:space="preserve"> pot trata două contracte derivate extrabursiere incluse în același acord de compensare care se potrivesc perfect ca fiind un singur contract cu o valoare principală noţională egală cu zero.</w:t>
      </w:r>
    </w:p>
    <w:p w14:paraId="33466F07" w14:textId="3976A0E0" w:rsidR="00C729A0" w:rsidRDefault="001C3923" w:rsidP="00C729A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17.</w:t>
      </w:r>
      <w:r w:rsidR="00DA6A1E">
        <w:rPr>
          <w:rFonts w:ascii="Times New Roman" w:eastAsia="Times New Roman" w:hAnsi="Times New Roman" w:cs="Times New Roman"/>
          <w:sz w:val="24"/>
          <w:szCs w:val="24"/>
          <w:lang w:val="ro-MD"/>
        </w:rPr>
        <w:t xml:space="preserve"> </w:t>
      </w:r>
      <w:r w:rsidR="00C729A0" w:rsidRPr="00C729A0">
        <w:rPr>
          <w:rFonts w:ascii="Times New Roman" w:eastAsia="Times New Roman" w:hAnsi="Times New Roman" w:cs="Times New Roman"/>
          <w:sz w:val="24"/>
          <w:szCs w:val="24"/>
          <w:lang w:val="ro-MD"/>
        </w:rPr>
        <w:t xml:space="preserve">În sensul </w:t>
      </w:r>
      <w:r w:rsidR="00DA6A1E">
        <w:rPr>
          <w:rFonts w:ascii="Times New Roman" w:eastAsia="Times New Roman" w:hAnsi="Times New Roman" w:cs="Times New Roman"/>
          <w:sz w:val="24"/>
          <w:szCs w:val="24"/>
          <w:lang w:val="ro-MD"/>
        </w:rPr>
        <w:t>punctului 1</w:t>
      </w:r>
      <w:r w:rsidR="002E17D0">
        <w:rPr>
          <w:rFonts w:ascii="Times New Roman" w:eastAsia="Times New Roman" w:hAnsi="Times New Roman" w:cs="Times New Roman"/>
          <w:sz w:val="24"/>
          <w:szCs w:val="24"/>
          <w:lang w:val="ro-MD"/>
        </w:rPr>
        <w:t>6</w:t>
      </w:r>
      <w:r w:rsidR="00C729A0" w:rsidRPr="00C729A0">
        <w:rPr>
          <w:rFonts w:ascii="Times New Roman" w:eastAsia="Times New Roman" w:hAnsi="Times New Roman" w:cs="Times New Roman"/>
          <w:sz w:val="24"/>
          <w:szCs w:val="24"/>
          <w:lang w:val="ro-MD"/>
        </w:rPr>
        <w:t>, două contracte derivate extrabursiere se potrivesc perfect în cazul în care acestea îndeplinesc cumulativ următoarele condiţii:</w:t>
      </w:r>
    </w:p>
    <w:p w14:paraId="5F2286D6" w14:textId="77777777" w:rsidR="00C729A0" w:rsidRPr="00C729A0" w:rsidRDefault="00C729A0" w:rsidP="00C729A0">
      <w:pPr>
        <w:spacing w:after="0" w:line="240" w:lineRule="auto"/>
        <w:ind w:firstLine="567"/>
        <w:jc w:val="both"/>
        <w:rPr>
          <w:rFonts w:ascii="Times New Roman" w:eastAsia="Times New Roman" w:hAnsi="Times New Roman" w:cs="Times New Roman"/>
          <w:sz w:val="24"/>
          <w:szCs w:val="24"/>
          <w:lang w:val="ro-MD"/>
        </w:rPr>
      </w:pPr>
      <w:r w:rsidRPr="00C729A0">
        <w:rPr>
          <w:rFonts w:ascii="Times New Roman" w:eastAsia="Times New Roman" w:hAnsi="Times New Roman" w:cs="Times New Roman"/>
          <w:sz w:val="24"/>
          <w:szCs w:val="24"/>
          <w:lang w:val="ro-MD"/>
        </w:rPr>
        <w:t>(a) poziţiile lor de risc sunt de semn opus;</w:t>
      </w:r>
    </w:p>
    <w:p w14:paraId="4A9BA3C5" w14:textId="77777777" w:rsidR="00C729A0" w:rsidRPr="00C729A0" w:rsidRDefault="00C729A0" w:rsidP="00C729A0">
      <w:pPr>
        <w:spacing w:after="0" w:line="240" w:lineRule="auto"/>
        <w:ind w:firstLine="567"/>
        <w:jc w:val="both"/>
        <w:rPr>
          <w:rFonts w:ascii="Times New Roman" w:eastAsia="Times New Roman" w:hAnsi="Times New Roman" w:cs="Times New Roman"/>
          <w:sz w:val="24"/>
          <w:szCs w:val="24"/>
          <w:lang w:val="ro-MD"/>
        </w:rPr>
      </w:pPr>
      <w:r w:rsidRPr="00C729A0">
        <w:rPr>
          <w:rFonts w:ascii="Times New Roman" w:eastAsia="Times New Roman" w:hAnsi="Times New Roman" w:cs="Times New Roman"/>
          <w:sz w:val="24"/>
          <w:szCs w:val="24"/>
          <w:lang w:val="ro-MD"/>
        </w:rPr>
        <w:t>(b) caracteristicile lor, cu excepţia datei tranzacţionării, sunt identice;</w:t>
      </w:r>
    </w:p>
    <w:p w14:paraId="7CE52140" w14:textId="69174572" w:rsidR="00C729A0" w:rsidRPr="00C729A0" w:rsidRDefault="00C729A0" w:rsidP="00C729A0">
      <w:pPr>
        <w:spacing w:after="0" w:line="240" w:lineRule="auto"/>
        <w:ind w:firstLine="567"/>
        <w:jc w:val="both"/>
        <w:rPr>
          <w:rFonts w:ascii="Times New Roman" w:eastAsia="Times New Roman" w:hAnsi="Times New Roman" w:cs="Times New Roman"/>
          <w:sz w:val="24"/>
          <w:szCs w:val="24"/>
          <w:lang w:val="ro-MD"/>
        </w:rPr>
      </w:pPr>
      <w:r w:rsidRPr="00C729A0">
        <w:rPr>
          <w:rFonts w:ascii="Times New Roman" w:eastAsia="Times New Roman" w:hAnsi="Times New Roman" w:cs="Times New Roman"/>
          <w:sz w:val="24"/>
          <w:szCs w:val="24"/>
          <w:lang w:val="ro-MD"/>
        </w:rPr>
        <w:t>(c) fluxurile lor de numerar se compensează reciproc în proporţie de 100 %</w:t>
      </w:r>
      <w:r>
        <w:rPr>
          <w:rFonts w:ascii="Times New Roman" w:eastAsia="Times New Roman" w:hAnsi="Times New Roman" w:cs="Times New Roman"/>
          <w:sz w:val="24"/>
          <w:szCs w:val="24"/>
          <w:lang w:val="ro-MD"/>
        </w:rPr>
        <w:t>.</w:t>
      </w:r>
    </w:p>
    <w:p w14:paraId="341CA132" w14:textId="4ADA9406" w:rsidR="00A718BE" w:rsidRPr="00A718BE" w:rsidRDefault="00DA6A1E" w:rsidP="00A718BE">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w:t>
      </w:r>
      <w:r w:rsidR="001C3923">
        <w:rPr>
          <w:rFonts w:ascii="Times New Roman" w:eastAsia="Times New Roman" w:hAnsi="Times New Roman" w:cs="Times New Roman"/>
          <w:b/>
          <w:bCs/>
          <w:sz w:val="24"/>
          <w:szCs w:val="24"/>
          <w:lang w:val="ro-MD"/>
        </w:rPr>
        <w:t>8</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w:t>
      </w:r>
      <w:r w:rsidR="00A718BE" w:rsidRPr="002E17D0">
        <w:rPr>
          <w:rFonts w:ascii="Times New Roman" w:eastAsia="Times New Roman" w:hAnsi="Times New Roman" w:cs="Times New Roman"/>
          <w:sz w:val="24"/>
          <w:szCs w:val="24"/>
          <w:lang w:val="ro-MD"/>
        </w:rPr>
        <w:t xml:space="preserve">Băncile determină valoarea expunerilor care rezultă din tranzacţii cu termen lung de decontare prin oricare din metodele prevăzute în capitolele III-V, indiferent de metoda aleasă pentru </w:t>
      </w:r>
      <w:r w:rsidR="00A718BE" w:rsidRPr="002E17D0">
        <w:rPr>
          <w:rFonts w:ascii="Times New Roman" w:eastAsia="Times New Roman" w:hAnsi="Times New Roman" w:cs="Times New Roman"/>
          <w:sz w:val="24"/>
          <w:szCs w:val="24"/>
          <w:lang w:val="ro-MD"/>
        </w:rPr>
        <w:lastRenderedPageBreak/>
        <w:t>a trata instrumentele financiare derivate extrabursiere şi tranzacţiile de răscumpărare, operaţiunile de dare sau luare de titluri sau mărfuri cu împrumut şi tranzacţiile de creditare în marjă.</w:t>
      </w:r>
    </w:p>
    <w:p w14:paraId="204056E9" w14:textId="57240CA7" w:rsidR="00A718BE" w:rsidRPr="002E17D0" w:rsidRDefault="00756B21" w:rsidP="00A718BE">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1</w:t>
      </w:r>
      <w:r w:rsidR="002E17D0" w:rsidRPr="00CA27C5">
        <w:rPr>
          <w:rFonts w:ascii="Times New Roman" w:eastAsia="Times New Roman" w:hAnsi="Times New Roman" w:cs="Times New Roman"/>
          <w:b/>
          <w:bCs/>
          <w:sz w:val="24"/>
          <w:szCs w:val="24"/>
          <w:lang w:val="ro-MD"/>
        </w:rPr>
        <w:t>9</w:t>
      </w:r>
      <w:r w:rsidR="00A718BE" w:rsidRPr="002E17D0">
        <w:rPr>
          <w:rFonts w:ascii="Times New Roman" w:eastAsia="Times New Roman" w:hAnsi="Times New Roman" w:cs="Times New Roman"/>
          <w:b/>
          <w:bCs/>
          <w:sz w:val="24"/>
          <w:szCs w:val="24"/>
          <w:lang w:val="ro-MD"/>
        </w:rPr>
        <w:t>.</w:t>
      </w:r>
      <w:r w:rsidR="00A718BE" w:rsidRPr="002E17D0">
        <w:rPr>
          <w:rFonts w:ascii="Times New Roman" w:eastAsia="Times New Roman" w:hAnsi="Times New Roman" w:cs="Times New Roman"/>
          <w:sz w:val="24"/>
          <w:szCs w:val="24"/>
          <w:lang w:val="ro-MD"/>
        </w:rPr>
        <w:t xml:space="preserve"> În cazul metodelor prevăzute în capitolele III-V, băncile tratează tranzacţiile în cazul cărora a fost identificat un risc specific de corelare defavorabilă în conformitate cu următoarele prevederi, după caz:</w:t>
      </w:r>
    </w:p>
    <w:p w14:paraId="5F52FAEA" w14:textId="77777777"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1) banca trebuie să ia în considerare în mod corespunzător expunerile care conduc la un nivel semnificativ al riscului specific şi al celui general de corelare defavorabilă;</w:t>
      </w:r>
    </w:p>
    <w:p w14:paraId="0D70CDC9" w14:textId="77777777"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2) banca trebuie să dispună de proceduri de identificare, monitorizare şi control al cazurilor de risc specific de corelare defavorabilă pentru fiecare persoana juridică, începând de la iniţierea tranzacţiei şi continuând pe toată durata acesteia;</w:t>
      </w:r>
    </w:p>
    <w:p w14:paraId="3B934547" w14:textId="77777777"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3) băncile trebuie să calculeze cerinţele de fonduri proprii pentru riscul de credit al contrapărţii legate de tranzacţiile în cazul cărora a fost identificat un risc specific de corelare defavorabilă şi atunci când există o legătură juridică între contraparte şi emitentul instrumentului-suport al instrumentului financiar derivat extrabursier sau al tranzacţiilor de răscumpărare, operaţiunilor de dare sau luare de titluri sau mărfuri cu împrumut, al tranzacţiilor de creditare în marjă, în conformitate cu următoarele principii:</w:t>
      </w:r>
    </w:p>
    <w:p w14:paraId="1BD5838C" w14:textId="19BDE84B"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 xml:space="preserve">a) instrumentele </w:t>
      </w:r>
      <w:r w:rsidR="00C729A0" w:rsidRPr="002E17D0">
        <w:rPr>
          <w:rFonts w:ascii="Times New Roman" w:eastAsia="Times New Roman" w:hAnsi="Times New Roman" w:cs="Times New Roman"/>
          <w:sz w:val="24"/>
          <w:szCs w:val="24"/>
          <w:lang w:val="ro-MD"/>
        </w:rPr>
        <w:t>care reprezintă</w:t>
      </w:r>
      <w:r w:rsidRPr="002E17D0">
        <w:rPr>
          <w:rFonts w:ascii="Times New Roman" w:eastAsia="Times New Roman" w:hAnsi="Times New Roman" w:cs="Times New Roman"/>
          <w:sz w:val="24"/>
          <w:szCs w:val="24"/>
          <w:lang w:val="ro-MD"/>
        </w:rPr>
        <w:t xml:space="preserve"> un risc specific de corelare defavorabilă nu se includ în acelaşi set de compensare cu alte tranzacţii cu contrapartea şi trebuie să fie tratate</w:t>
      </w:r>
      <w:r w:rsidR="001701A1" w:rsidRPr="002E17D0">
        <w:rPr>
          <w:rFonts w:ascii="Times New Roman" w:eastAsia="Times New Roman" w:hAnsi="Times New Roman" w:cs="Times New Roman"/>
          <w:sz w:val="24"/>
          <w:szCs w:val="24"/>
          <w:lang w:val="ro-MD"/>
        </w:rPr>
        <w:t xml:space="preserve"> ca fiind</w:t>
      </w:r>
      <w:r w:rsidRPr="002E17D0">
        <w:rPr>
          <w:rFonts w:ascii="Times New Roman" w:eastAsia="Times New Roman" w:hAnsi="Times New Roman" w:cs="Times New Roman"/>
          <w:sz w:val="24"/>
          <w:szCs w:val="24"/>
          <w:lang w:val="ro-MD"/>
        </w:rPr>
        <w:t>, fiecare, ca un set de compensare separat;</w:t>
      </w:r>
    </w:p>
    <w:p w14:paraId="692441A9" w14:textId="77777777"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b) în orice astfel de set de compensare separat, valoarea expunerii pentru instrumentele de tip credit default swap având la bază o singură semnătură (contract care oferă protecţie de la default din partea unui singur emitent – o singură semnătură) este egală cu întreaga pierdere aşteptată pentru restul valorii juste a instrumentelor-suport, în ipoteza că emitentul acestora este în lichidare;</w:t>
      </w:r>
    </w:p>
    <w:p w14:paraId="2EF7EC41" w14:textId="77777777"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c) ponderea de risc aplicabilă trebuie să fie cea a unei tranzacţii negarantate, în conformitate cu prevederile punctului 73 din Regulamentul cu privire la tratamentul riscului de credit pentru bănci potrivit abordării standardizate, aprobat prin HCE nr.111/2018;</w:t>
      </w:r>
    </w:p>
    <w:p w14:paraId="782F36C0" w14:textId="77777777" w:rsidR="00A718BE" w:rsidRPr="00A718BE"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d) pentru toate celelalte tranzacţii (decât cele indicate la lit.b)) având la bază o singură semnătură din orice astfel de set de compensare separat, calculul valorii expunerii trebuie să fie efectuat ţinând seama de ipoteza unei intrări subite în stare de nerambursare (jump-to-default) a obligaţiilor-suport, în cazul în care există o legătură de natură juridică între emitent şi contraparte. Pentru tranzacţiile care au la bază un grup de semnături sau un indice, se aplică intrarea subită în stare de nerambursare (jump-to-default) a obligaţiilor-suport respective, dacă sunt semnificative, în care există o legătură de natură juridică între emitent şi contraparte;</w:t>
      </w:r>
    </w:p>
    <w:p w14:paraId="46546C58" w14:textId="77777777" w:rsidR="00A718BE" w:rsidRPr="002E17D0" w:rsidRDefault="00A718BE" w:rsidP="00A718BE">
      <w:pPr>
        <w:spacing w:after="0" w:line="240" w:lineRule="auto"/>
        <w:ind w:firstLine="567"/>
        <w:jc w:val="both"/>
        <w:rPr>
          <w:rFonts w:ascii="Times New Roman" w:eastAsia="Times New Roman" w:hAnsi="Times New Roman" w:cs="Times New Roman"/>
          <w:sz w:val="24"/>
          <w:szCs w:val="24"/>
          <w:lang w:val="ro-MD"/>
        </w:rPr>
      </w:pPr>
      <w:r w:rsidRPr="002E17D0">
        <w:rPr>
          <w:rFonts w:ascii="Times New Roman" w:eastAsia="Times New Roman" w:hAnsi="Times New Roman" w:cs="Times New Roman"/>
          <w:sz w:val="24"/>
          <w:szCs w:val="24"/>
          <w:lang w:val="ro-MD"/>
        </w:rPr>
        <w:t>4) subdiviziunile responsabile ale băncii trebuie să prezinte organului executiv şi comitetului competent al consiliului băncii rapoarte periodice privind riscul specific, precum şi riscul general de corelare defavorabilă şi măsurile luate pentru administrarea acestui risc.</w:t>
      </w:r>
    </w:p>
    <w:p w14:paraId="2FCD4AE7" w14:textId="25855618" w:rsidR="00A718BE" w:rsidRDefault="002E17D0" w:rsidP="00A718BE">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20</w:t>
      </w:r>
      <w:r w:rsidR="00A718BE" w:rsidRPr="002E17D0">
        <w:rPr>
          <w:rFonts w:ascii="Times New Roman" w:eastAsia="Times New Roman" w:hAnsi="Times New Roman" w:cs="Times New Roman"/>
          <w:b/>
          <w:bCs/>
          <w:sz w:val="24"/>
          <w:szCs w:val="24"/>
          <w:lang w:val="ro-MD"/>
        </w:rPr>
        <w:t>.</w:t>
      </w:r>
      <w:r w:rsidR="00A718BE" w:rsidRPr="002E17D0">
        <w:rPr>
          <w:rFonts w:ascii="Times New Roman" w:eastAsia="Times New Roman" w:hAnsi="Times New Roman" w:cs="Times New Roman"/>
          <w:sz w:val="24"/>
          <w:szCs w:val="24"/>
          <w:lang w:val="ro-MD"/>
        </w:rPr>
        <w:t xml:space="preserve"> Băncile raportează expunerea la riscul de credit al contrapărţii în conformitate cu cerinţele stabilite prin Instrucţiunea cu privire la prezentarea de către bănci a rapoartelor COREP în scopuri de supraveghere, aprobată prin HCE nr.117/2018.</w:t>
      </w:r>
    </w:p>
    <w:p w14:paraId="17AE85D5" w14:textId="507B8C79" w:rsidR="00933CA2" w:rsidRPr="006C31DC" w:rsidRDefault="00933CA2" w:rsidP="00933CA2">
      <w:pPr>
        <w:pStyle w:val="CM4"/>
        <w:spacing w:before="60" w:after="60"/>
        <w:jc w:val="center"/>
        <w:rPr>
          <w:color w:val="000000"/>
        </w:rPr>
      </w:pPr>
      <w:r>
        <w:rPr>
          <w:i/>
          <w:iCs/>
          <w:color w:val="000000"/>
        </w:rPr>
        <w:t xml:space="preserve">Secțiunea </w:t>
      </w:r>
      <w:r w:rsidR="002458F0">
        <w:rPr>
          <w:i/>
          <w:iCs/>
          <w:color w:val="000000"/>
        </w:rPr>
        <w:t xml:space="preserve">a </w:t>
      </w:r>
      <w:r w:rsidR="006E2723">
        <w:rPr>
          <w:i/>
          <w:iCs/>
          <w:color w:val="000000"/>
        </w:rPr>
        <w:t>3</w:t>
      </w:r>
      <w:r w:rsidR="002458F0">
        <w:rPr>
          <w:i/>
          <w:iCs/>
          <w:color w:val="000000"/>
        </w:rPr>
        <w:t>-a</w:t>
      </w:r>
      <w:r w:rsidR="00AC1A25">
        <w:rPr>
          <w:i/>
          <w:iCs/>
          <w:color w:val="000000"/>
        </w:rPr>
        <w:t xml:space="preserve"> </w:t>
      </w:r>
    </w:p>
    <w:p w14:paraId="54053B41" w14:textId="3317B57A" w:rsidR="00933CA2" w:rsidRPr="00CA27C5" w:rsidRDefault="00933CA2" w:rsidP="00CA27C5">
      <w:pPr>
        <w:spacing w:after="0" w:line="240" w:lineRule="auto"/>
        <w:ind w:firstLine="567"/>
        <w:jc w:val="center"/>
        <w:rPr>
          <w:rFonts w:ascii="Times New Roman" w:eastAsia="Times New Roman" w:hAnsi="Times New Roman" w:cs="Times New Roman"/>
          <w:b/>
          <w:bCs/>
          <w:sz w:val="24"/>
          <w:szCs w:val="24"/>
          <w:lang w:val="ro-MD"/>
        </w:rPr>
      </w:pPr>
      <w:r w:rsidRPr="00CA27C5">
        <w:rPr>
          <w:rFonts w:ascii="Times New Roman" w:eastAsia="Times New Roman" w:hAnsi="Times New Roman" w:cs="Times New Roman"/>
          <w:b/>
          <w:bCs/>
          <w:sz w:val="24"/>
          <w:szCs w:val="24"/>
          <w:lang w:val="ro-MD"/>
        </w:rPr>
        <w:t>Condiţii pentru utilizarea metodelor simplificate de calculare a valorii expunerii</w:t>
      </w:r>
    </w:p>
    <w:p w14:paraId="04205B4D" w14:textId="2254D89E" w:rsidR="00502671" w:rsidRPr="00502671" w:rsidRDefault="00EA3FDE" w:rsidP="00502671">
      <w:pPr>
        <w:spacing w:after="0" w:line="240" w:lineRule="auto"/>
        <w:ind w:firstLine="567"/>
        <w:jc w:val="both"/>
        <w:rPr>
          <w:rFonts w:ascii="Times New Roman" w:eastAsia="Times New Roman" w:hAnsi="Times New Roman" w:cs="Times New Roman"/>
          <w:sz w:val="24"/>
          <w:szCs w:val="24"/>
          <w:lang w:val="ro-MD"/>
        </w:rPr>
      </w:pPr>
      <w:bookmarkStart w:id="2" w:name="_Hlk152623500"/>
      <w:r>
        <w:rPr>
          <w:rFonts w:ascii="Times New Roman" w:eastAsia="Times New Roman" w:hAnsi="Times New Roman" w:cs="Times New Roman"/>
          <w:b/>
          <w:bCs/>
          <w:sz w:val="24"/>
          <w:szCs w:val="24"/>
          <w:lang w:val="ro-MD"/>
        </w:rPr>
        <w:t>21</w:t>
      </w:r>
      <w:r w:rsidR="00933CA2">
        <w:rPr>
          <w:rFonts w:ascii="Times New Roman" w:eastAsia="Times New Roman" w:hAnsi="Times New Roman" w:cs="Times New Roman"/>
          <w:b/>
          <w:bCs/>
          <w:sz w:val="24"/>
          <w:szCs w:val="24"/>
          <w:lang w:val="ro-MD"/>
        </w:rPr>
        <w:t>.</w:t>
      </w:r>
      <w:r w:rsidR="00A718BE" w:rsidRPr="00CA27C5">
        <w:rPr>
          <w:rFonts w:ascii="Times New Roman" w:eastAsia="Times New Roman" w:hAnsi="Times New Roman" w:cs="Times New Roman"/>
          <w:b/>
          <w:bCs/>
          <w:sz w:val="24"/>
          <w:szCs w:val="24"/>
          <w:lang w:val="ro-MD"/>
        </w:rPr>
        <w:t> </w:t>
      </w:r>
      <w:r w:rsidR="00502671" w:rsidRPr="00502671">
        <w:rPr>
          <w:rFonts w:ascii="Times New Roman" w:eastAsia="Times New Roman" w:hAnsi="Times New Roman" w:cs="Times New Roman"/>
          <w:sz w:val="24"/>
          <w:szCs w:val="24"/>
          <w:lang w:val="ro-MD"/>
        </w:rPr>
        <w:t xml:space="preserve">O </w:t>
      </w:r>
      <w:r w:rsidR="00933CA2">
        <w:rPr>
          <w:rFonts w:ascii="Times New Roman" w:eastAsia="Times New Roman" w:hAnsi="Times New Roman" w:cs="Times New Roman"/>
          <w:sz w:val="24"/>
          <w:szCs w:val="24"/>
          <w:lang w:val="ro-MD"/>
        </w:rPr>
        <w:t>bancă</w:t>
      </w:r>
      <w:r w:rsidR="00502671" w:rsidRPr="00502671">
        <w:rPr>
          <w:rFonts w:ascii="Times New Roman" w:eastAsia="Times New Roman" w:hAnsi="Times New Roman" w:cs="Times New Roman"/>
          <w:sz w:val="24"/>
          <w:szCs w:val="24"/>
          <w:lang w:val="ro-MD"/>
        </w:rPr>
        <w:t xml:space="preserve"> poate calcula valoarea expunerii pentru poziţiile sale pe instrumente financiare derivate în conformitate cu metoda prevăzută în </w:t>
      </w:r>
      <w:r w:rsidR="00C93238">
        <w:rPr>
          <w:rFonts w:ascii="Times New Roman" w:eastAsia="Times New Roman" w:hAnsi="Times New Roman" w:cs="Times New Roman"/>
          <w:sz w:val="24"/>
          <w:szCs w:val="24"/>
          <w:lang w:val="ro-MD"/>
        </w:rPr>
        <w:t>capitolul IV</w:t>
      </w:r>
      <w:r w:rsidR="00502671" w:rsidRPr="00502671">
        <w:rPr>
          <w:rFonts w:ascii="Times New Roman" w:eastAsia="Times New Roman" w:hAnsi="Times New Roman" w:cs="Times New Roman"/>
          <w:sz w:val="24"/>
          <w:szCs w:val="24"/>
          <w:lang w:val="ro-MD"/>
        </w:rPr>
        <w:t xml:space="preserve">, cu condiţia ca volumul operaţiunilor sale bilanţiere și extrabilanţiere cu instrumente financiare derivate să fie mai mic sau egal cu fiecare dintre următoarele două praguri, pe baza unei evaluări realizate lunar, utilizând datele din ultima zi a lunii: </w:t>
      </w:r>
    </w:p>
    <w:p w14:paraId="685B4ACC" w14:textId="0FB6B5F3"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w:t>
      </w:r>
      <w:r w:rsidR="00502671" w:rsidRPr="00502671">
        <w:rPr>
          <w:rFonts w:ascii="Times New Roman" w:eastAsia="Times New Roman" w:hAnsi="Times New Roman" w:cs="Times New Roman"/>
          <w:sz w:val="24"/>
          <w:szCs w:val="24"/>
          <w:lang w:val="ro-MD"/>
        </w:rPr>
        <w:t xml:space="preserve">) 10 % din activele totale ale </w:t>
      </w:r>
      <w:r w:rsidR="00933CA2">
        <w:rPr>
          <w:rFonts w:ascii="Times New Roman" w:eastAsia="Times New Roman" w:hAnsi="Times New Roman" w:cs="Times New Roman"/>
          <w:sz w:val="24"/>
          <w:szCs w:val="24"/>
          <w:lang w:val="ro-MD"/>
        </w:rPr>
        <w:t>băncii</w:t>
      </w:r>
      <w:r w:rsidR="00502671" w:rsidRPr="00502671">
        <w:rPr>
          <w:rFonts w:ascii="Times New Roman" w:eastAsia="Times New Roman" w:hAnsi="Times New Roman" w:cs="Times New Roman"/>
          <w:sz w:val="24"/>
          <w:szCs w:val="24"/>
          <w:lang w:val="ro-MD"/>
        </w:rPr>
        <w:t xml:space="preserve">; </w:t>
      </w:r>
    </w:p>
    <w:p w14:paraId="11516C4C" w14:textId="5CF0B0D7"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w:t>
      </w:r>
      <w:r w:rsidR="00502671" w:rsidRPr="00385EFD">
        <w:rPr>
          <w:rFonts w:ascii="Times New Roman" w:eastAsia="Times New Roman" w:hAnsi="Times New Roman" w:cs="Times New Roman"/>
          <w:sz w:val="24"/>
          <w:szCs w:val="24"/>
          <w:lang w:val="ro-MD"/>
        </w:rPr>
        <w:t>300 de milioane EUR.</w:t>
      </w:r>
      <w:r w:rsidR="00502671" w:rsidRPr="00502671">
        <w:rPr>
          <w:rFonts w:ascii="Times New Roman" w:eastAsia="Times New Roman" w:hAnsi="Times New Roman" w:cs="Times New Roman"/>
          <w:sz w:val="24"/>
          <w:szCs w:val="24"/>
          <w:lang w:val="ro-MD"/>
        </w:rPr>
        <w:t xml:space="preserve"> </w:t>
      </w:r>
    </w:p>
    <w:p w14:paraId="7BB46092" w14:textId="5BB6B466" w:rsidR="00502671" w:rsidRPr="00502671" w:rsidRDefault="00EA3FDE"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lastRenderedPageBreak/>
        <w:t>22</w:t>
      </w:r>
      <w:r w:rsidR="00933CA2"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O </w:t>
      </w:r>
      <w:r w:rsidR="00933CA2">
        <w:rPr>
          <w:rFonts w:ascii="Times New Roman" w:eastAsia="Times New Roman" w:hAnsi="Times New Roman" w:cs="Times New Roman"/>
          <w:sz w:val="24"/>
          <w:szCs w:val="24"/>
          <w:lang w:val="ro-MD"/>
        </w:rPr>
        <w:t>bancă</w:t>
      </w:r>
      <w:r w:rsidR="00502671" w:rsidRPr="00502671">
        <w:rPr>
          <w:rFonts w:ascii="Times New Roman" w:eastAsia="Times New Roman" w:hAnsi="Times New Roman" w:cs="Times New Roman"/>
          <w:sz w:val="24"/>
          <w:szCs w:val="24"/>
          <w:lang w:val="ro-MD"/>
        </w:rPr>
        <w:t xml:space="preserve"> poate calcula valoarea expunerii pentru poziţiile sale pe instrumente financiare derivate în conformitate cu metoda prevăzută </w:t>
      </w:r>
      <w:r w:rsidR="00502671" w:rsidRPr="00C93238">
        <w:rPr>
          <w:rFonts w:ascii="Times New Roman" w:eastAsia="Times New Roman" w:hAnsi="Times New Roman" w:cs="Times New Roman"/>
          <w:sz w:val="24"/>
          <w:szCs w:val="24"/>
          <w:lang w:val="ro-MD"/>
        </w:rPr>
        <w:t xml:space="preserve">în </w:t>
      </w:r>
      <w:r w:rsidR="00C93238">
        <w:rPr>
          <w:rFonts w:ascii="Times New Roman" w:eastAsia="Times New Roman" w:hAnsi="Times New Roman" w:cs="Times New Roman"/>
          <w:sz w:val="24"/>
          <w:szCs w:val="24"/>
          <w:lang w:val="ro-MD"/>
        </w:rPr>
        <w:t>capitolul V</w:t>
      </w:r>
      <w:r w:rsidR="00502671" w:rsidRPr="00502671">
        <w:rPr>
          <w:rFonts w:ascii="Times New Roman" w:eastAsia="Times New Roman" w:hAnsi="Times New Roman" w:cs="Times New Roman"/>
          <w:sz w:val="24"/>
          <w:szCs w:val="24"/>
          <w:lang w:val="ro-MD"/>
        </w:rPr>
        <w:t xml:space="preserve">, cu condiţia ca volumul operaţiunilor sale bilanţiere și extrabilanţiere cu instrumente financiare derivate să fie mai mic sau egal cu fiecare dintre următoarele două praguri, pe baza unei evaluări realizate lunar, utilizând datele din ultima zi a lunii: </w:t>
      </w:r>
    </w:p>
    <w:p w14:paraId="51E9AD62" w14:textId="064519D0"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w:t>
      </w:r>
      <w:r w:rsidR="00502671" w:rsidRPr="00502671">
        <w:rPr>
          <w:rFonts w:ascii="Times New Roman" w:eastAsia="Times New Roman" w:hAnsi="Times New Roman" w:cs="Times New Roman"/>
          <w:sz w:val="24"/>
          <w:szCs w:val="24"/>
          <w:lang w:val="ro-MD"/>
        </w:rPr>
        <w:t xml:space="preserve">) 5 % din activele totale ale </w:t>
      </w:r>
      <w:r w:rsidR="00933CA2">
        <w:rPr>
          <w:rFonts w:ascii="Times New Roman" w:eastAsia="Times New Roman" w:hAnsi="Times New Roman" w:cs="Times New Roman"/>
          <w:sz w:val="24"/>
          <w:szCs w:val="24"/>
          <w:lang w:val="ro-MD"/>
        </w:rPr>
        <w:t>băncii</w:t>
      </w:r>
      <w:r w:rsidR="00502671" w:rsidRPr="00502671">
        <w:rPr>
          <w:rFonts w:ascii="Times New Roman" w:eastAsia="Times New Roman" w:hAnsi="Times New Roman" w:cs="Times New Roman"/>
          <w:sz w:val="24"/>
          <w:szCs w:val="24"/>
          <w:lang w:val="ro-MD"/>
        </w:rPr>
        <w:t xml:space="preserve">; </w:t>
      </w:r>
    </w:p>
    <w:p w14:paraId="0CAD7B9F" w14:textId="5165401D"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w:t>
      </w:r>
      <w:r w:rsidR="00502671" w:rsidRPr="00385EFD">
        <w:rPr>
          <w:rFonts w:ascii="Times New Roman" w:eastAsia="Times New Roman" w:hAnsi="Times New Roman" w:cs="Times New Roman"/>
          <w:sz w:val="24"/>
          <w:szCs w:val="24"/>
          <w:lang w:val="ro-MD"/>
        </w:rPr>
        <w:t>100 de milioane EUR.</w:t>
      </w:r>
      <w:r w:rsidR="00502671" w:rsidRPr="00502671">
        <w:rPr>
          <w:rFonts w:ascii="Times New Roman" w:eastAsia="Times New Roman" w:hAnsi="Times New Roman" w:cs="Times New Roman"/>
          <w:sz w:val="24"/>
          <w:szCs w:val="24"/>
          <w:lang w:val="ro-MD"/>
        </w:rPr>
        <w:t xml:space="preserve"> </w:t>
      </w:r>
    </w:p>
    <w:p w14:paraId="766C2F44" w14:textId="48C6CD55" w:rsidR="00502671" w:rsidRPr="00502671" w:rsidRDefault="00933CA2"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3</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În sensul </w:t>
      </w:r>
      <w:r w:rsidRPr="001F0C41">
        <w:rPr>
          <w:rFonts w:ascii="Times New Roman" w:eastAsia="Times New Roman" w:hAnsi="Times New Roman" w:cs="Times New Roman"/>
          <w:sz w:val="24"/>
          <w:szCs w:val="24"/>
          <w:lang w:val="ro-MD"/>
        </w:rPr>
        <w:t>punctelor</w:t>
      </w:r>
      <w:r>
        <w:rPr>
          <w:rFonts w:ascii="Times New Roman" w:eastAsia="Times New Roman" w:hAnsi="Times New Roman" w:cs="Times New Roman"/>
          <w:sz w:val="24"/>
          <w:szCs w:val="24"/>
          <w:lang w:val="ro-MD"/>
        </w:rPr>
        <w:t xml:space="preserve"> 2</w:t>
      </w:r>
      <w:r w:rsidR="00C93238">
        <w:rPr>
          <w:rFonts w:ascii="Times New Roman" w:eastAsia="Times New Roman" w:hAnsi="Times New Roman" w:cs="Times New Roman"/>
          <w:sz w:val="24"/>
          <w:szCs w:val="24"/>
          <w:lang w:val="ro-MD"/>
        </w:rPr>
        <w:t>1</w:t>
      </w:r>
      <w:r>
        <w:rPr>
          <w:rFonts w:ascii="Times New Roman" w:eastAsia="Times New Roman" w:hAnsi="Times New Roman" w:cs="Times New Roman"/>
          <w:sz w:val="24"/>
          <w:szCs w:val="24"/>
          <w:lang w:val="ro-MD"/>
        </w:rPr>
        <w:t xml:space="preserve"> și 2</w:t>
      </w:r>
      <w:r w:rsidR="00C93238">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băncile</w:t>
      </w:r>
      <w:r w:rsidR="00502671" w:rsidRPr="00502671">
        <w:rPr>
          <w:rFonts w:ascii="Times New Roman" w:eastAsia="Times New Roman" w:hAnsi="Times New Roman" w:cs="Times New Roman"/>
          <w:sz w:val="24"/>
          <w:szCs w:val="24"/>
          <w:lang w:val="ro-MD"/>
        </w:rPr>
        <w:t xml:space="preserve"> calculează volumul operaţiunilor lor bilanţiere și extrabilanţiere cu instrumente financiare derivate pe baza datelor din ultima zi a fiecărei luni, în conformitate cu următoarele cerinţe: </w:t>
      </w:r>
    </w:p>
    <w:p w14:paraId="2F5E3FDC" w14:textId="36BEF5A7"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w:t>
      </w:r>
      <w:r w:rsidR="00502671" w:rsidRPr="00502671">
        <w:rPr>
          <w:rFonts w:ascii="Times New Roman" w:eastAsia="Times New Roman" w:hAnsi="Times New Roman" w:cs="Times New Roman"/>
          <w:sz w:val="24"/>
          <w:szCs w:val="24"/>
          <w:lang w:val="ro-MD"/>
        </w:rPr>
        <w:t xml:space="preserve">) poziţiile pe instrumente financiare derivate se evaluează la valorile lor de piaţă de la data respectivă; în cazul în care valoarea de piaţă a unei poziţii nu este disponibilă la o anumită dată, </w:t>
      </w:r>
      <w:r w:rsidR="00933CA2">
        <w:rPr>
          <w:rFonts w:ascii="Times New Roman" w:eastAsia="Times New Roman" w:hAnsi="Times New Roman" w:cs="Times New Roman"/>
          <w:sz w:val="24"/>
          <w:szCs w:val="24"/>
          <w:lang w:val="ro-MD"/>
        </w:rPr>
        <w:t>băncile</w:t>
      </w:r>
      <w:r w:rsidR="00502671" w:rsidRPr="00502671">
        <w:rPr>
          <w:rFonts w:ascii="Times New Roman" w:eastAsia="Times New Roman" w:hAnsi="Times New Roman" w:cs="Times New Roman"/>
          <w:sz w:val="24"/>
          <w:szCs w:val="24"/>
          <w:lang w:val="ro-MD"/>
        </w:rPr>
        <w:t xml:space="preserve"> utilizează valoarea justă pentru poziţia respectivă de la data vizată; în cazul în care valoarea de piaţă și valoarea justă a unei poziţii nu sunt disponibile la o anumită dată, </w:t>
      </w:r>
      <w:r w:rsidR="00933CA2">
        <w:rPr>
          <w:rFonts w:ascii="Times New Roman" w:eastAsia="Times New Roman" w:hAnsi="Times New Roman" w:cs="Times New Roman"/>
          <w:sz w:val="24"/>
          <w:szCs w:val="24"/>
          <w:lang w:val="ro-MD"/>
        </w:rPr>
        <w:t>băncile</w:t>
      </w:r>
      <w:r w:rsidR="00502671" w:rsidRPr="00502671">
        <w:rPr>
          <w:rFonts w:ascii="Times New Roman" w:eastAsia="Times New Roman" w:hAnsi="Times New Roman" w:cs="Times New Roman"/>
          <w:sz w:val="24"/>
          <w:szCs w:val="24"/>
          <w:lang w:val="ro-MD"/>
        </w:rPr>
        <w:t xml:space="preserve"> utilizează cea mai recentă valoare de piaţă sau valoare justă pentru poziţia respectivă; </w:t>
      </w:r>
    </w:p>
    <w:p w14:paraId="4DC4B403" w14:textId="1724A543"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valoarea absolută a poziţiilor lungi pe instrumente financiare derivate se adună cu valoarea absolută a poziţiilor scurte pe instrumente financiare derivate; </w:t>
      </w:r>
    </w:p>
    <w:p w14:paraId="0E3AAFCF" w14:textId="1FF74945"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3</w:t>
      </w:r>
      <w:r w:rsidR="00502671" w:rsidRPr="00502671">
        <w:rPr>
          <w:rFonts w:ascii="Times New Roman" w:eastAsia="Times New Roman" w:hAnsi="Times New Roman" w:cs="Times New Roman"/>
          <w:sz w:val="24"/>
          <w:szCs w:val="24"/>
          <w:lang w:val="ro-MD"/>
        </w:rPr>
        <w:t xml:space="preserve">) sunt incluse toate poziţiile pe instrumente financiare derivate, cu excepţia instrumentelor financiare derivate de credit care sunt recunoscute ca acoperiri interne împotriva expunerilor la riscul de credit din afara portofoliului de tranzacţionare. </w:t>
      </w:r>
    </w:p>
    <w:p w14:paraId="7C774E12" w14:textId="00D886E0" w:rsidR="00502671" w:rsidRPr="00502671" w:rsidRDefault="00AC1A25"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4</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Prin derogare de la </w:t>
      </w:r>
      <w:r w:rsidRPr="00A37663">
        <w:rPr>
          <w:rFonts w:ascii="Times New Roman" w:eastAsia="Times New Roman" w:hAnsi="Times New Roman" w:cs="Times New Roman"/>
          <w:sz w:val="24"/>
          <w:szCs w:val="24"/>
          <w:lang w:val="ro-MD"/>
        </w:rPr>
        <w:t>punctele 2</w:t>
      </w:r>
      <w:r w:rsidR="00C93238" w:rsidRPr="00A37663">
        <w:rPr>
          <w:rFonts w:ascii="Times New Roman" w:eastAsia="Times New Roman" w:hAnsi="Times New Roman" w:cs="Times New Roman"/>
          <w:sz w:val="24"/>
          <w:szCs w:val="24"/>
          <w:lang w:val="ro-MD"/>
        </w:rPr>
        <w:t>1</w:t>
      </w:r>
      <w:r w:rsidR="00502671" w:rsidRPr="00502671">
        <w:rPr>
          <w:rFonts w:ascii="Times New Roman" w:eastAsia="Times New Roman" w:hAnsi="Times New Roman" w:cs="Times New Roman"/>
          <w:sz w:val="24"/>
          <w:szCs w:val="24"/>
          <w:lang w:val="ro-MD"/>
        </w:rPr>
        <w:t xml:space="preserve"> sau</w:t>
      </w:r>
      <w:r>
        <w:rPr>
          <w:rFonts w:ascii="Times New Roman" w:eastAsia="Times New Roman" w:hAnsi="Times New Roman" w:cs="Times New Roman"/>
          <w:sz w:val="24"/>
          <w:szCs w:val="24"/>
          <w:lang w:val="ro-MD"/>
        </w:rPr>
        <w:t xml:space="preserve"> 2</w:t>
      </w:r>
      <w:r w:rsidR="00C93238">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după caz, dacă activitatea cu instrumente financiare derivate pe bază consolidată nu depășește pragurile stabilite la </w:t>
      </w:r>
      <w:r w:rsidRPr="00A37663">
        <w:rPr>
          <w:rFonts w:ascii="Times New Roman" w:eastAsia="Times New Roman" w:hAnsi="Times New Roman" w:cs="Times New Roman"/>
          <w:sz w:val="24"/>
          <w:szCs w:val="24"/>
          <w:lang w:val="ro-MD"/>
        </w:rPr>
        <w:t>punctele</w:t>
      </w:r>
      <w:r>
        <w:rPr>
          <w:rFonts w:ascii="Times New Roman" w:eastAsia="Times New Roman" w:hAnsi="Times New Roman" w:cs="Times New Roman"/>
          <w:sz w:val="24"/>
          <w:szCs w:val="24"/>
          <w:lang w:val="ro-MD"/>
        </w:rPr>
        <w:t xml:space="preserve"> 2</w:t>
      </w:r>
      <w:r w:rsidR="00C93238">
        <w:rPr>
          <w:rFonts w:ascii="Times New Roman" w:eastAsia="Times New Roman" w:hAnsi="Times New Roman" w:cs="Times New Roman"/>
          <w:sz w:val="24"/>
          <w:szCs w:val="24"/>
          <w:lang w:val="ro-MD"/>
        </w:rPr>
        <w:t>1</w:t>
      </w:r>
      <w:r w:rsidR="00502671" w:rsidRPr="00502671">
        <w:rPr>
          <w:rFonts w:ascii="Times New Roman" w:eastAsia="Times New Roman" w:hAnsi="Times New Roman" w:cs="Times New Roman"/>
          <w:sz w:val="24"/>
          <w:szCs w:val="24"/>
          <w:lang w:val="ro-MD"/>
        </w:rPr>
        <w:t xml:space="preserve"> sau </w:t>
      </w:r>
      <w:r>
        <w:rPr>
          <w:rFonts w:ascii="Times New Roman" w:eastAsia="Times New Roman" w:hAnsi="Times New Roman" w:cs="Times New Roman"/>
          <w:sz w:val="24"/>
          <w:szCs w:val="24"/>
          <w:lang w:val="ro-MD"/>
        </w:rPr>
        <w:t>2</w:t>
      </w:r>
      <w:r w:rsidR="00C93238">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după caz, o </w:t>
      </w:r>
      <w:r>
        <w:rPr>
          <w:rFonts w:ascii="Times New Roman" w:eastAsia="Times New Roman" w:hAnsi="Times New Roman" w:cs="Times New Roman"/>
          <w:sz w:val="24"/>
          <w:szCs w:val="24"/>
          <w:lang w:val="ro-MD"/>
        </w:rPr>
        <w:t>bancă</w:t>
      </w:r>
      <w:r w:rsidR="00502671" w:rsidRPr="00502671">
        <w:rPr>
          <w:rFonts w:ascii="Times New Roman" w:eastAsia="Times New Roman" w:hAnsi="Times New Roman" w:cs="Times New Roman"/>
          <w:sz w:val="24"/>
          <w:szCs w:val="24"/>
          <w:lang w:val="ro-MD"/>
        </w:rPr>
        <w:t xml:space="preserve"> care este inclusă în consolidare și care ar trebui să aplice metoda prevăzută în </w:t>
      </w:r>
      <w:r w:rsidR="00C93238">
        <w:rPr>
          <w:rFonts w:ascii="Times New Roman" w:eastAsia="Times New Roman" w:hAnsi="Times New Roman" w:cs="Times New Roman"/>
          <w:sz w:val="24"/>
          <w:szCs w:val="24"/>
          <w:lang w:val="ro-MD"/>
        </w:rPr>
        <w:t>capitolele III și IV,</w:t>
      </w:r>
      <w:r w:rsidR="00502671" w:rsidRPr="00502671">
        <w:rPr>
          <w:rFonts w:ascii="Times New Roman" w:eastAsia="Times New Roman" w:hAnsi="Times New Roman" w:cs="Times New Roman"/>
          <w:sz w:val="24"/>
          <w:szCs w:val="24"/>
          <w:lang w:val="ro-MD"/>
        </w:rPr>
        <w:t xml:space="preserve"> deoarece depășește pragurile respective pe bază individuală, are ca alternativă, sub rezerva aprobării din partea </w:t>
      </w:r>
      <w:r w:rsidR="00FB15A6" w:rsidRPr="00385EFD">
        <w:rPr>
          <w:rFonts w:ascii="Times New Roman" w:eastAsia="Times New Roman" w:hAnsi="Times New Roman" w:cs="Times New Roman"/>
          <w:sz w:val="24"/>
          <w:szCs w:val="24"/>
          <w:lang w:val="ro-MD"/>
        </w:rPr>
        <w:t>B</w:t>
      </w:r>
      <w:r w:rsidR="00385EFD" w:rsidRPr="00385EFD">
        <w:rPr>
          <w:rFonts w:ascii="Times New Roman" w:eastAsia="Times New Roman" w:hAnsi="Times New Roman" w:cs="Times New Roman"/>
          <w:sz w:val="24"/>
          <w:szCs w:val="24"/>
          <w:lang w:val="ro-MD"/>
        </w:rPr>
        <w:t xml:space="preserve">ăncii </w:t>
      </w:r>
      <w:r w:rsidR="00FB15A6" w:rsidRPr="00385EFD">
        <w:rPr>
          <w:rFonts w:ascii="Times New Roman" w:eastAsia="Times New Roman" w:hAnsi="Times New Roman" w:cs="Times New Roman"/>
          <w:sz w:val="24"/>
          <w:szCs w:val="24"/>
          <w:lang w:val="ro-MD"/>
        </w:rPr>
        <w:t>N</w:t>
      </w:r>
      <w:r w:rsidR="00385EFD" w:rsidRPr="00385EFD">
        <w:rPr>
          <w:rFonts w:ascii="Times New Roman" w:eastAsia="Times New Roman" w:hAnsi="Times New Roman" w:cs="Times New Roman"/>
          <w:sz w:val="24"/>
          <w:szCs w:val="24"/>
          <w:lang w:val="ro-MD"/>
        </w:rPr>
        <w:t xml:space="preserve">aționale a </w:t>
      </w:r>
      <w:r w:rsidR="00FB15A6" w:rsidRPr="00385EFD">
        <w:rPr>
          <w:rFonts w:ascii="Times New Roman" w:eastAsia="Times New Roman" w:hAnsi="Times New Roman" w:cs="Times New Roman"/>
          <w:sz w:val="24"/>
          <w:szCs w:val="24"/>
          <w:lang w:val="ro-MD"/>
        </w:rPr>
        <w:t>M</w:t>
      </w:r>
      <w:r w:rsidR="00385EFD">
        <w:rPr>
          <w:rFonts w:ascii="Times New Roman" w:eastAsia="Times New Roman" w:hAnsi="Times New Roman" w:cs="Times New Roman"/>
          <w:sz w:val="24"/>
          <w:szCs w:val="24"/>
          <w:lang w:val="ro-MD"/>
        </w:rPr>
        <w:t>oldovei</w:t>
      </w:r>
      <w:r w:rsidR="00502671" w:rsidRPr="00502671">
        <w:rPr>
          <w:rFonts w:ascii="Times New Roman" w:eastAsia="Times New Roman" w:hAnsi="Times New Roman" w:cs="Times New Roman"/>
          <w:sz w:val="24"/>
          <w:szCs w:val="24"/>
          <w:lang w:val="ro-MD"/>
        </w:rPr>
        <w:t xml:space="preserve">, opţiunea de a aplica metoda care s-ar aplica pe bază consolidată. </w:t>
      </w:r>
    </w:p>
    <w:p w14:paraId="07FAF963" w14:textId="67300B4B" w:rsidR="00502671" w:rsidRPr="00502671" w:rsidRDefault="00AC1A25"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5</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Băncile</w:t>
      </w:r>
      <w:r w:rsidR="00502671" w:rsidRPr="00502671">
        <w:rPr>
          <w:rFonts w:ascii="Times New Roman" w:eastAsia="Times New Roman" w:hAnsi="Times New Roman" w:cs="Times New Roman"/>
          <w:sz w:val="24"/>
          <w:szCs w:val="24"/>
          <w:lang w:val="ro-MD"/>
        </w:rPr>
        <w:t xml:space="preserve"> notifică </w:t>
      </w:r>
      <w:r w:rsidR="00FB15A6" w:rsidRPr="00385EFD">
        <w:rPr>
          <w:rFonts w:ascii="Times New Roman" w:eastAsia="Times New Roman" w:hAnsi="Times New Roman" w:cs="Times New Roman"/>
          <w:sz w:val="24"/>
          <w:szCs w:val="24"/>
          <w:lang w:val="ro-MD"/>
        </w:rPr>
        <w:t>B</w:t>
      </w:r>
      <w:r w:rsidR="00385EFD" w:rsidRPr="00385EFD">
        <w:rPr>
          <w:rFonts w:ascii="Times New Roman" w:eastAsia="Times New Roman" w:hAnsi="Times New Roman" w:cs="Times New Roman"/>
          <w:sz w:val="24"/>
          <w:szCs w:val="24"/>
          <w:lang w:val="ro-MD"/>
        </w:rPr>
        <w:t xml:space="preserve">anca </w:t>
      </w:r>
      <w:r w:rsidR="00FB15A6" w:rsidRPr="00385EFD">
        <w:rPr>
          <w:rFonts w:ascii="Times New Roman" w:eastAsia="Times New Roman" w:hAnsi="Times New Roman" w:cs="Times New Roman"/>
          <w:sz w:val="24"/>
          <w:szCs w:val="24"/>
          <w:lang w:val="ro-MD"/>
        </w:rPr>
        <w:t>N</w:t>
      </w:r>
      <w:r w:rsidR="00385EFD" w:rsidRPr="00385EFD">
        <w:rPr>
          <w:rFonts w:ascii="Times New Roman" w:eastAsia="Times New Roman" w:hAnsi="Times New Roman" w:cs="Times New Roman"/>
          <w:sz w:val="24"/>
          <w:szCs w:val="24"/>
          <w:lang w:val="ro-MD"/>
        </w:rPr>
        <w:t xml:space="preserve">ațională a </w:t>
      </w:r>
      <w:r w:rsidR="00FB15A6" w:rsidRPr="00385EFD">
        <w:rPr>
          <w:rFonts w:ascii="Times New Roman" w:eastAsia="Times New Roman" w:hAnsi="Times New Roman" w:cs="Times New Roman"/>
          <w:sz w:val="24"/>
          <w:szCs w:val="24"/>
          <w:lang w:val="ro-MD"/>
        </w:rPr>
        <w:t>M</w:t>
      </w:r>
      <w:r w:rsidR="00385EFD" w:rsidRPr="00385EFD">
        <w:rPr>
          <w:rFonts w:ascii="Times New Roman" w:eastAsia="Times New Roman" w:hAnsi="Times New Roman" w:cs="Times New Roman"/>
          <w:sz w:val="24"/>
          <w:szCs w:val="24"/>
          <w:lang w:val="ro-MD"/>
        </w:rPr>
        <w:t>oldovei</w:t>
      </w:r>
      <w:r w:rsidR="00502671" w:rsidRPr="00502671">
        <w:rPr>
          <w:rFonts w:ascii="Times New Roman" w:eastAsia="Times New Roman" w:hAnsi="Times New Roman" w:cs="Times New Roman"/>
          <w:sz w:val="24"/>
          <w:szCs w:val="24"/>
          <w:lang w:val="ro-MD"/>
        </w:rPr>
        <w:t xml:space="preserve"> metodele prevăzute în </w:t>
      </w:r>
      <w:r w:rsidR="00D43C15">
        <w:rPr>
          <w:rFonts w:ascii="Times New Roman" w:eastAsia="Times New Roman" w:hAnsi="Times New Roman" w:cs="Times New Roman"/>
          <w:sz w:val="24"/>
          <w:szCs w:val="24"/>
          <w:lang w:val="ro-MD"/>
        </w:rPr>
        <w:t>capitolele IV și V</w:t>
      </w:r>
      <w:r w:rsidR="00502671" w:rsidRPr="00502671">
        <w:rPr>
          <w:rFonts w:ascii="Times New Roman" w:eastAsia="Times New Roman" w:hAnsi="Times New Roman" w:cs="Times New Roman"/>
          <w:sz w:val="24"/>
          <w:szCs w:val="24"/>
          <w:lang w:val="ro-MD"/>
        </w:rPr>
        <w:t xml:space="preserve"> pe care le utilizează sau pe care încetează să le mai utilizeze, după caz, pentru a calcula valoarea expunerii pentru poziţiile lor pe instrumente financiare derivate. </w:t>
      </w:r>
    </w:p>
    <w:p w14:paraId="423DED5B" w14:textId="6CF35028" w:rsidR="00502671" w:rsidRPr="00502671" w:rsidRDefault="00AC1A25"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6</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Băncile</w:t>
      </w:r>
      <w:r w:rsidR="00502671" w:rsidRPr="00502671">
        <w:rPr>
          <w:rFonts w:ascii="Times New Roman" w:eastAsia="Times New Roman" w:hAnsi="Times New Roman" w:cs="Times New Roman"/>
          <w:sz w:val="24"/>
          <w:szCs w:val="24"/>
          <w:lang w:val="ro-MD"/>
        </w:rPr>
        <w:t xml:space="preserve"> nu deschid tranzacţii cu instrumente financiare derivate și nu cumpără sau vând instrumente financiare derivate cu unicul scop de a respecta oricare dintre condiţiile prevăzute la </w:t>
      </w:r>
      <w:r>
        <w:rPr>
          <w:rFonts w:ascii="Times New Roman" w:eastAsia="Times New Roman" w:hAnsi="Times New Roman" w:cs="Times New Roman"/>
          <w:sz w:val="24"/>
          <w:szCs w:val="24"/>
          <w:lang w:val="ro-MD"/>
        </w:rPr>
        <w:t>punctele 2</w:t>
      </w:r>
      <w:r w:rsidR="00D43C15">
        <w:rPr>
          <w:rFonts w:ascii="Times New Roman" w:eastAsia="Times New Roman" w:hAnsi="Times New Roman" w:cs="Times New Roman"/>
          <w:sz w:val="24"/>
          <w:szCs w:val="24"/>
          <w:lang w:val="ro-MD"/>
        </w:rPr>
        <w:t>1</w:t>
      </w:r>
      <w:r>
        <w:rPr>
          <w:rFonts w:ascii="Times New Roman" w:eastAsia="Times New Roman" w:hAnsi="Times New Roman" w:cs="Times New Roman"/>
          <w:sz w:val="24"/>
          <w:szCs w:val="24"/>
          <w:lang w:val="ro-MD"/>
        </w:rPr>
        <w:t xml:space="preserve"> și 2</w:t>
      </w:r>
      <w:r w:rsidR="00D43C15">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în cursul evaluării lunare. </w:t>
      </w:r>
    </w:p>
    <w:p w14:paraId="13F8EDB5" w14:textId="47C844CE" w:rsidR="00AC1A25" w:rsidRPr="006C31DC" w:rsidRDefault="00AC1A25" w:rsidP="00AC1A25">
      <w:pPr>
        <w:pStyle w:val="CM4"/>
        <w:spacing w:before="60" w:after="60"/>
        <w:jc w:val="center"/>
        <w:rPr>
          <w:color w:val="000000"/>
        </w:rPr>
      </w:pPr>
      <w:r>
        <w:rPr>
          <w:i/>
          <w:iCs/>
          <w:color w:val="000000"/>
        </w:rPr>
        <w:t xml:space="preserve">Secțiunea </w:t>
      </w:r>
      <w:r w:rsidR="0099409E">
        <w:rPr>
          <w:i/>
          <w:iCs/>
          <w:color w:val="000000"/>
        </w:rPr>
        <w:t xml:space="preserve">a </w:t>
      </w:r>
      <w:r w:rsidR="006C3732">
        <w:rPr>
          <w:i/>
          <w:iCs/>
          <w:color w:val="000000"/>
        </w:rPr>
        <w:t>4</w:t>
      </w:r>
      <w:r w:rsidR="0099409E">
        <w:rPr>
          <w:i/>
          <w:iCs/>
          <w:color w:val="000000"/>
        </w:rPr>
        <w:t>-a</w:t>
      </w:r>
      <w:r>
        <w:rPr>
          <w:i/>
          <w:iCs/>
          <w:color w:val="000000"/>
        </w:rPr>
        <w:t xml:space="preserve"> </w:t>
      </w:r>
    </w:p>
    <w:p w14:paraId="71F37186" w14:textId="77777777" w:rsidR="00502671" w:rsidRPr="00CA27C5" w:rsidRDefault="00502671" w:rsidP="00CA27C5">
      <w:pPr>
        <w:spacing w:after="0" w:line="240" w:lineRule="auto"/>
        <w:ind w:firstLine="567"/>
        <w:jc w:val="center"/>
        <w:rPr>
          <w:rFonts w:ascii="Times New Roman" w:eastAsia="Times New Roman" w:hAnsi="Times New Roman" w:cs="Times New Roman"/>
          <w:b/>
          <w:bCs/>
          <w:sz w:val="24"/>
          <w:szCs w:val="24"/>
          <w:lang w:val="ro-MD"/>
        </w:rPr>
      </w:pPr>
      <w:r w:rsidRPr="00CA27C5">
        <w:rPr>
          <w:rFonts w:ascii="Times New Roman" w:eastAsia="Times New Roman" w:hAnsi="Times New Roman" w:cs="Times New Roman"/>
          <w:b/>
          <w:bCs/>
          <w:sz w:val="24"/>
          <w:szCs w:val="24"/>
          <w:lang w:val="ro-MD"/>
        </w:rPr>
        <w:t>Nerespectarea condiţiilor pentru utilizarea metodelor simplificate de calculare a valorii expunerii pentru instrumentele financiare derivate</w:t>
      </w:r>
    </w:p>
    <w:p w14:paraId="23570D94" w14:textId="2672CA46" w:rsidR="00502671" w:rsidRPr="00502671" w:rsidRDefault="00AC1A25"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7</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O </w:t>
      </w:r>
      <w:r>
        <w:rPr>
          <w:rFonts w:ascii="Times New Roman" w:eastAsia="Times New Roman" w:hAnsi="Times New Roman" w:cs="Times New Roman"/>
          <w:sz w:val="24"/>
          <w:szCs w:val="24"/>
          <w:lang w:val="ro-MD"/>
        </w:rPr>
        <w:t>bancă</w:t>
      </w:r>
      <w:r w:rsidR="00502671" w:rsidRPr="00502671">
        <w:rPr>
          <w:rFonts w:ascii="Times New Roman" w:eastAsia="Times New Roman" w:hAnsi="Times New Roman" w:cs="Times New Roman"/>
          <w:sz w:val="24"/>
          <w:szCs w:val="24"/>
          <w:lang w:val="ro-MD"/>
        </w:rPr>
        <w:t xml:space="preserve"> care nu mai îndeplinește una sau mai multe dintre condiţiile prevăzute la</w:t>
      </w:r>
      <w:r w:rsidR="006E2CF2">
        <w:rPr>
          <w:rFonts w:ascii="Times New Roman" w:eastAsia="Times New Roman" w:hAnsi="Times New Roman" w:cs="Times New Roman"/>
          <w:sz w:val="24"/>
          <w:szCs w:val="24"/>
          <w:lang w:val="ro-MD"/>
        </w:rPr>
        <w:t xml:space="preserve"> punctul 2</w:t>
      </w:r>
      <w:r w:rsidR="00D1563C">
        <w:rPr>
          <w:rFonts w:ascii="Times New Roman" w:eastAsia="Times New Roman" w:hAnsi="Times New Roman" w:cs="Times New Roman"/>
          <w:sz w:val="24"/>
          <w:szCs w:val="24"/>
          <w:lang w:val="ro-MD"/>
        </w:rPr>
        <w:t>1</w:t>
      </w:r>
      <w:r w:rsidR="006E2CF2">
        <w:rPr>
          <w:rFonts w:ascii="Times New Roman" w:eastAsia="Times New Roman" w:hAnsi="Times New Roman" w:cs="Times New Roman"/>
          <w:sz w:val="24"/>
          <w:szCs w:val="24"/>
          <w:lang w:val="ro-MD"/>
        </w:rPr>
        <w:t xml:space="preserve"> sau 2</w:t>
      </w:r>
      <w:r w:rsidR="00D1563C">
        <w:rPr>
          <w:rFonts w:ascii="Times New Roman" w:eastAsia="Times New Roman" w:hAnsi="Times New Roman" w:cs="Times New Roman"/>
          <w:sz w:val="24"/>
          <w:szCs w:val="24"/>
          <w:lang w:val="ro-MD"/>
        </w:rPr>
        <w:t>2</w:t>
      </w:r>
      <w:r w:rsidR="006E2CF2">
        <w:rPr>
          <w:rFonts w:ascii="Times New Roman" w:eastAsia="Times New Roman" w:hAnsi="Times New Roman" w:cs="Times New Roman"/>
          <w:sz w:val="24"/>
          <w:szCs w:val="24"/>
          <w:lang w:val="ro-MD"/>
        </w:rPr>
        <w:t xml:space="preserve"> </w:t>
      </w:r>
      <w:r w:rsidR="00502671" w:rsidRPr="00502671">
        <w:rPr>
          <w:rFonts w:ascii="Times New Roman" w:eastAsia="Times New Roman" w:hAnsi="Times New Roman" w:cs="Times New Roman"/>
          <w:sz w:val="24"/>
          <w:szCs w:val="24"/>
          <w:lang w:val="ro-MD"/>
        </w:rPr>
        <w:t xml:space="preserve">notifică imediat acest lucru </w:t>
      </w:r>
      <w:r w:rsidR="00FB15A6" w:rsidRPr="00385EFD">
        <w:rPr>
          <w:rFonts w:ascii="Times New Roman" w:eastAsia="Times New Roman" w:hAnsi="Times New Roman" w:cs="Times New Roman"/>
          <w:sz w:val="24"/>
          <w:szCs w:val="24"/>
          <w:lang w:val="ro-MD"/>
        </w:rPr>
        <w:t>B</w:t>
      </w:r>
      <w:r w:rsidR="00385EFD" w:rsidRPr="00385EFD">
        <w:rPr>
          <w:rFonts w:ascii="Times New Roman" w:eastAsia="Times New Roman" w:hAnsi="Times New Roman" w:cs="Times New Roman"/>
          <w:sz w:val="24"/>
          <w:szCs w:val="24"/>
          <w:lang w:val="ro-MD"/>
        </w:rPr>
        <w:t xml:space="preserve">ăncii </w:t>
      </w:r>
      <w:r w:rsidR="00FB15A6" w:rsidRPr="00385EFD">
        <w:rPr>
          <w:rFonts w:ascii="Times New Roman" w:eastAsia="Times New Roman" w:hAnsi="Times New Roman" w:cs="Times New Roman"/>
          <w:sz w:val="24"/>
          <w:szCs w:val="24"/>
          <w:lang w:val="ro-MD"/>
        </w:rPr>
        <w:t>N</w:t>
      </w:r>
      <w:r w:rsidR="00385EFD" w:rsidRPr="00385EFD">
        <w:rPr>
          <w:rFonts w:ascii="Times New Roman" w:eastAsia="Times New Roman" w:hAnsi="Times New Roman" w:cs="Times New Roman"/>
          <w:sz w:val="24"/>
          <w:szCs w:val="24"/>
          <w:lang w:val="ro-MD"/>
        </w:rPr>
        <w:t xml:space="preserve">aționale a </w:t>
      </w:r>
      <w:r w:rsidR="00FB15A6" w:rsidRPr="00385EFD">
        <w:rPr>
          <w:rFonts w:ascii="Times New Roman" w:eastAsia="Times New Roman" w:hAnsi="Times New Roman" w:cs="Times New Roman"/>
          <w:sz w:val="24"/>
          <w:szCs w:val="24"/>
          <w:lang w:val="ro-MD"/>
        </w:rPr>
        <w:t>M</w:t>
      </w:r>
      <w:r w:rsidR="00385EFD" w:rsidRPr="00385EFD">
        <w:rPr>
          <w:rFonts w:ascii="Times New Roman" w:eastAsia="Times New Roman" w:hAnsi="Times New Roman" w:cs="Times New Roman"/>
          <w:sz w:val="24"/>
          <w:szCs w:val="24"/>
          <w:lang w:val="ro-MD"/>
        </w:rPr>
        <w:t>oldovei</w:t>
      </w:r>
      <w:r w:rsidR="00502671" w:rsidRPr="00502671">
        <w:rPr>
          <w:rFonts w:ascii="Times New Roman" w:eastAsia="Times New Roman" w:hAnsi="Times New Roman" w:cs="Times New Roman"/>
          <w:sz w:val="24"/>
          <w:szCs w:val="24"/>
          <w:lang w:val="ro-MD"/>
        </w:rPr>
        <w:t xml:space="preserve">. </w:t>
      </w:r>
    </w:p>
    <w:p w14:paraId="5DB0AFD2" w14:textId="65B99302" w:rsidR="00502671" w:rsidRPr="00502671" w:rsidRDefault="006E2CF2"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8</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O </w:t>
      </w:r>
      <w:r>
        <w:rPr>
          <w:rFonts w:ascii="Times New Roman" w:eastAsia="Times New Roman" w:hAnsi="Times New Roman" w:cs="Times New Roman"/>
          <w:sz w:val="24"/>
          <w:szCs w:val="24"/>
          <w:lang w:val="ro-MD"/>
        </w:rPr>
        <w:t>bancă</w:t>
      </w:r>
      <w:r w:rsidR="00502671" w:rsidRPr="00502671">
        <w:rPr>
          <w:rFonts w:ascii="Times New Roman" w:eastAsia="Times New Roman" w:hAnsi="Times New Roman" w:cs="Times New Roman"/>
          <w:sz w:val="24"/>
          <w:szCs w:val="24"/>
          <w:lang w:val="ro-MD"/>
        </w:rPr>
        <w:t xml:space="preserve"> încetează să calculeze valorile expunerilor pentru poziţiile sale pe instrumente financiare derivate în conformitate cu </w:t>
      </w:r>
      <w:r w:rsidR="008E5FDE">
        <w:rPr>
          <w:rFonts w:ascii="Times New Roman" w:eastAsia="Times New Roman" w:hAnsi="Times New Roman" w:cs="Times New Roman"/>
          <w:sz w:val="24"/>
          <w:szCs w:val="24"/>
          <w:lang w:val="ro-MD"/>
        </w:rPr>
        <w:t>capitolele IV și V</w:t>
      </w:r>
      <w:r w:rsidR="00502671" w:rsidRPr="00502671">
        <w:rPr>
          <w:rFonts w:ascii="Times New Roman" w:eastAsia="Times New Roman" w:hAnsi="Times New Roman" w:cs="Times New Roman"/>
          <w:sz w:val="24"/>
          <w:szCs w:val="24"/>
          <w:lang w:val="ro-MD"/>
        </w:rPr>
        <w:t xml:space="preserve">, după caz, în termen de trei luni de la apariţia uneia dintre următoarele situaţii: </w:t>
      </w:r>
    </w:p>
    <w:p w14:paraId="5E55E8F3" w14:textId="79B40BFC" w:rsidR="00502671" w:rsidRPr="00502671" w:rsidRDefault="006903FB" w:rsidP="00502671">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w:t>
      </w:r>
      <w:r w:rsidR="00502671" w:rsidRPr="00502671">
        <w:rPr>
          <w:rFonts w:ascii="Times New Roman" w:eastAsia="Times New Roman" w:hAnsi="Times New Roman" w:cs="Times New Roman"/>
          <w:sz w:val="24"/>
          <w:szCs w:val="24"/>
          <w:lang w:val="ro-MD"/>
        </w:rPr>
        <w:t xml:space="preserve">) </w:t>
      </w:r>
      <w:r w:rsidR="006E2CF2">
        <w:rPr>
          <w:rFonts w:ascii="Times New Roman" w:eastAsia="Times New Roman" w:hAnsi="Times New Roman" w:cs="Times New Roman"/>
          <w:sz w:val="24"/>
          <w:szCs w:val="24"/>
          <w:lang w:val="ro-MD"/>
        </w:rPr>
        <w:t>banca</w:t>
      </w:r>
      <w:r w:rsidR="00502671" w:rsidRPr="00502671">
        <w:rPr>
          <w:rFonts w:ascii="Times New Roman" w:eastAsia="Times New Roman" w:hAnsi="Times New Roman" w:cs="Times New Roman"/>
          <w:sz w:val="24"/>
          <w:szCs w:val="24"/>
          <w:lang w:val="ro-MD"/>
        </w:rPr>
        <w:t xml:space="preserve"> nu îndeplinește condiţiile stabilite la </w:t>
      </w:r>
      <w:r w:rsidR="002D02A2">
        <w:rPr>
          <w:rFonts w:ascii="Times New Roman" w:eastAsia="Times New Roman" w:hAnsi="Times New Roman" w:cs="Times New Roman"/>
          <w:sz w:val="24"/>
          <w:szCs w:val="24"/>
          <w:lang w:val="ro-MD"/>
        </w:rPr>
        <w:t>punctul 21 subpunctul 1) sau punctul 22 subpunctul 1</w:t>
      </w:r>
      <w:r w:rsidR="002D02A2" w:rsidRPr="002D02A2">
        <w:rPr>
          <w:rFonts w:ascii="Times New Roman" w:eastAsia="Times New Roman" w:hAnsi="Times New Roman" w:cs="Times New Roman"/>
          <w:sz w:val="24"/>
          <w:szCs w:val="24"/>
          <w:lang w:val="ro-MD"/>
        </w:rPr>
        <w:t>)</w:t>
      </w:r>
      <w:r w:rsidR="00502671" w:rsidRPr="002D02A2">
        <w:rPr>
          <w:rFonts w:ascii="Times New Roman" w:eastAsia="Times New Roman" w:hAnsi="Times New Roman" w:cs="Times New Roman"/>
          <w:sz w:val="24"/>
          <w:szCs w:val="24"/>
          <w:lang w:val="ro-MD"/>
        </w:rPr>
        <w:t xml:space="preserve">, după caz, sau condiţiile stabilite la </w:t>
      </w:r>
      <w:r w:rsidR="002D02A2" w:rsidRPr="00CA27C5">
        <w:rPr>
          <w:rFonts w:ascii="Times New Roman" w:eastAsia="Times New Roman" w:hAnsi="Times New Roman" w:cs="Times New Roman"/>
          <w:sz w:val="24"/>
          <w:szCs w:val="24"/>
          <w:lang w:val="ro-MD"/>
        </w:rPr>
        <w:t>punctul 21 subpunctul 2)</w:t>
      </w:r>
      <w:r w:rsidR="00502671" w:rsidRPr="002D02A2">
        <w:rPr>
          <w:rFonts w:ascii="Times New Roman" w:eastAsia="Times New Roman" w:hAnsi="Times New Roman" w:cs="Times New Roman"/>
          <w:sz w:val="24"/>
          <w:szCs w:val="24"/>
          <w:lang w:val="ro-MD"/>
        </w:rPr>
        <w:t xml:space="preserve"> sau </w:t>
      </w:r>
      <w:r w:rsidR="002D02A2" w:rsidRPr="00CA27C5">
        <w:rPr>
          <w:rFonts w:ascii="Times New Roman" w:eastAsia="Times New Roman" w:hAnsi="Times New Roman" w:cs="Times New Roman"/>
          <w:sz w:val="24"/>
          <w:szCs w:val="24"/>
          <w:lang w:val="ro-MD"/>
        </w:rPr>
        <w:t>punctul 22 subpunctul 2)</w:t>
      </w:r>
      <w:r w:rsidR="00502671" w:rsidRPr="002D02A2">
        <w:rPr>
          <w:rFonts w:ascii="Times New Roman" w:eastAsia="Times New Roman" w:hAnsi="Times New Roman" w:cs="Times New Roman"/>
          <w:sz w:val="24"/>
          <w:szCs w:val="24"/>
          <w:lang w:val="ro-MD"/>
        </w:rPr>
        <w:t>,</w:t>
      </w:r>
      <w:r w:rsidR="00502671" w:rsidRPr="00502671">
        <w:rPr>
          <w:rFonts w:ascii="Times New Roman" w:eastAsia="Times New Roman" w:hAnsi="Times New Roman" w:cs="Times New Roman"/>
          <w:sz w:val="24"/>
          <w:szCs w:val="24"/>
          <w:lang w:val="ro-MD"/>
        </w:rPr>
        <w:t xml:space="preserve"> după caz, timp de trei luni consecutive; </w:t>
      </w:r>
    </w:p>
    <w:p w14:paraId="20D68E11" w14:textId="01224C30" w:rsidR="00502671" w:rsidRPr="00CA27C5" w:rsidRDefault="006903FB" w:rsidP="005026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MD"/>
        </w:rPr>
        <w:t>2</w:t>
      </w:r>
      <w:r w:rsidR="00502671" w:rsidRPr="00502671">
        <w:rPr>
          <w:rFonts w:ascii="Times New Roman" w:eastAsia="Times New Roman" w:hAnsi="Times New Roman" w:cs="Times New Roman"/>
          <w:sz w:val="24"/>
          <w:szCs w:val="24"/>
          <w:lang w:val="ro-MD"/>
        </w:rPr>
        <w:t xml:space="preserve">) </w:t>
      </w:r>
      <w:r w:rsidR="006E2CF2">
        <w:rPr>
          <w:rFonts w:ascii="Times New Roman" w:eastAsia="Times New Roman" w:hAnsi="Times New Roman" w:cs="Times New Roman"/>
          <w:sz w:val="24"/>
          <w:szCs w:val="24"/>
          <w:lang w:val="ro-MD"/>
        </w:rPr>
        <w:t>banca</w:t>
      </w:r>
      <w:r w:rsidR="00502671" w:rsidRPr="00502671">
        <w:rPr>
          <w:rFonts w:ascii="Times New Roman" w:eastAsia="Times New Roman" w:hAnsi="Times New Roman" w:cs="Times New Roman"/>
          <w:sz w:val="24"/>
          <w:szCs w:val="24"/>
          <w:lang w:val="ro-MD"/>
        </w:rPr>
        <w:t xml:space="preserve"> nu îndeplinește condiţiile stabilite la </w:t>
      </w:r>
      <w:r w:rsidR="00E26A85" w:rsidRPr="00E26A85">
        <w:rPr>
          <w:rFonts w:ascii="Times New Roman" w:eastAsia="Times New Roman" w:hAnsi="Times New Roman" w:cs="Times New Roman"/>
          <w:sz w:val="24"/>
          <w:szCs w:val="24"/>
          <w:lang w:val="ro-MD"/>
        </w:rPr>
        <w:t>punctul 21 subpunctul 1) sau punctul 22 subpunctul 1), după caz, sau condiţiile stabilite la punctul 21 subpunctul 2) sau punctul 22 subpunctul 2),</w:t>
      </w:r>
      <w:r w:rsidR="00502671" w:rsidRPr="00502671">
        <w:rPr>
          <w:rFonts w:ascii="Times New Roman" w:eastAsia="Times New Roman" w:hAnsi="Times New Roman" w:cs="Times New Roman"/>
          <w:sz w:val="24"/>
          <w:szCs w:val="24"/>
          <w:lang w:val="ro-MD"/>
        </w:rPr>
        <w:t xml:space="preserve"> după caz, timp de peste șase din cele 12 luni precedente. </w:t>
      </w:r>
    </w:p>
    <w:p w14:paraId="71BF5F13" w14:textId="660BF082" w:rsidR="00A718BE" w:rsidRPr="00A718BE" w:rsidRDefault="006111A9" w:rsidP="00502671">
      <w:pPr>
        <w:spacing w:after="0" w:line="240" w:lineRule="auto"/>
        <w:ind w:firstLine="567"/>
        <w:jc w:val="both"/>
        <w:rPr>
          <w:rFonts w:ascii="Times New Roman" w:eastAsia="Times New Roman" w:hAnsi="Times New Roman" w:cs="Times New Roman"/>
          <w:sz w:val="24"/>
          <w:szCs w:val="24"/>
          <w:lang w:val="ro-MD"/>
        </w:rPr>
      </w:pPr>
      <w:r w:rsidRPr="00CA27C5">
        <w:rPr>
          <w:rFonts w:ascii="Times New Roman" w:eastAsia="Times New Roman" w:hAnsi="Times New Roman" w:cs="Times New Roman"/>
          <w:b/>
          <w:bCs/>
          <w:sz w:val="24"/>
          <w:szCs w:val="24"/>
          <w:lang w:val="ro-MD"/>
        </w:rPr>
        <w:t>2</w:t>
      </w:r>
      <w:r w:rsidR="00EA3FDE">
        <w:rPr>
          <w:rFonts w:ascii="Times New Roman" w:eastAsia="Times New Roman" w:hAnsi="Times New Roman" w:cs="Times New Roman"/>
          <w:b/>
          <w:bCs/>
          <w:sz w:val="24"/>
          <w:szCs w:val="24"/>
          <w:lang w:val="ro-MD"/>
        </w:rPr>
        <w:t>9</w:t>
      </w:r>
      <w:r w:rsidRPr="00CA27C5">
        <w:rPr>
          <w:rFonts w:ascii="Times New Roman" w:eastAsia="Times New Roman" w:hAnsi="Times New Roman" w:cs="Times New Roman"/>
          <w:b/>
          <w:bCs/>
          <w:sz w:val="24"/>
          <w:szCs w:val="24"/>
          <w:lang w:val="ro-MD"/>
        </w:rPr>
        <w:t>.</w:t>
      </w:r>
      <w:r w:rsidR="00502671" w:rsidRPr="00502671">
        <w:rPr>
          <w:rFonts w:ascii="Times New Roman" w:eastAsia="Times New Roman" w:hAnsi="Times New Roman" w:cs="Times New Roman"/>
          <w:sz w:val="24"/>
          <w:szCs w:val="24"/>
          <w:lang w:val="ro-MD"/>
        </w:rPr>
        <w:t xml:space="preserve"> În cazul în care o </w:t>
      </w:r>
      <w:r>
        <w:rPr>
          <w:rFonts w:ascii="Times New Roman" w:eastAsia="Times New Roman" w:hAnsi="Times New Roman" w:cs="Times New Roman"/>
          <w:sz w:val="24"/>
          <w:szCs w:val="24"/>
          <w:lang w:val="ro-MD"/>
        </w:rPr>
        <w:t>bancă</w:t>
      </w:r>
      <w:r w:rsidR="00502671" w:rsidRPr="00502671">
        <w:rPr>
          <w:rFonts w:ascii="Times New Roman" w:eastAsia="Times New Roman" w:hAnsi="Times New Roman" w:cs="Times New Roman"/>
          <w:sz w:val="24"/>
          <w:szCs w:val="24"/>
          <w:lang w:val="ro-MD"/>
        </w:rPr>
        <w:t xml:space="preserve"> a încetat să calculeze valorile expunerilor pentru poziţiile sale pe instrumente financiare derivate în conformitate cu </w:t>
      </w:r>
      <w:r w:rsidR="00192061">
        <w:rPr>
          <w:rFonts w:ascii="Times New Roman" w:eastAsia="Times New Roman" w:hAnsi="Times New Roman" w:cs="Times New Roman"/>
          <w:sz w:val="24"/>
          <w:szCs w:val="24"/>
          <w:lang w:val="ro-MD"/>
        </w:rPr>
        <w:t>capitolele IV sau V</w:t>
      </w:r>
      <w:r w:rsidR="00502671" w:rsidRPr="00192061">
        <w:rPr>
          <w:rFonts w:ascii="Times New Roman" w:eastAsia="Times New Roman" w:hAnsi="Times New Roman" w:cs="Times New Roman"/>
          <w:sz w:val="24"/>
          <w:szCs w:val="24"/>
          <w:lang w:val="ro-MD"/>
        </w:rPr>
        <w:t>,</w:t>
      </w:r>
      <w:r w:rsidR="00502671" w:rsidRPr="00502671">
        <w:rPr>
          <w:rFonts w:ascii="Times New Roman" w:eastAsia="Times New Roman" w:hAnsi="Times New Roman" w:cs="Times New Roman"/>
          <w:sz w:val="24"/>
          <w:szCs w:val="24"/>
          <w:lang w:val="ro-MD"/>
        </w:rPr>
        <w:t xml:space="preserve"> după caz, acesteia i se </w:t>
      </w:r>
      <w:r w:rsidR="00502671" w:rsidRPr="00502671">
        <w:rPr>
          <w:rFonts w:ascii="Times New Roman" w:eastAsia="Times New Roman" w:hAnsi="Times New Roman" w:cs="Times New Roman"/>
          <w:sz w:val="24"/>
          <w:szCs w:val="24"/>
          <w:lang w:val="ro-MD"/>
        </w:rPr>
        <w:lastRenderedPageBreak/>
        <w:t xml:space="preserve">permite să își calculeze din nou valorile expunerii pentru poziţiile pe instrumente financiare derivate astfel cum este prevăzut în </w:t>
      </w:r>
      <w:r w:rsidR="00192061" w:rsidRPr="00A37663">
        <w:rPr>
          <w:rFonts w:ascii="Times New Roman" w:eastAsia="Times New Roman" w:hAnsi="Times New Roman" w:cs="Times New Roman"/>
          <w:sz w:val="24"/>
          <w:szCs w:val="24"/>
          <w:lang w:val="ro-MD"/>
        </w:rPr>
        <w:t>capitolele</w:t>
      </w:r>
      <w:r w:rsidR="00192061" w:rsidRPr="00192061">
        <w:rPr>
          <w:rFonts w:ascii="Times New Roman" w:eastAsia="Times New Roman" w:hAnsi="Times New Roman" w:cs="Times New Roman"/>
          <w:sz w:val="24"/>
          <w:szCs w:val="24"/>
          <w:lang w:val="ro-MD"/>
        </w:rPr>
        <w:t xml:space="preserve"> IV sau V</w:t>
      </w:r>
      <w:r w:rsidR="00502671" w:rsidRPr="00502671">
        <w:rPr>
          <w:rFonts w:ascii="Times New Roman" w:eastAsia="Times New Roman" w:hAnsi="Times New Roman" w:cs="Times New Roman"/>
          <w:sz w:val="24"/>
          <w:szCs w:val="24"/>
          <w:lang w:val="ro-MD"/>
        </w:rPr>
        <w:t xml:space="preserve"> numai în cazul în care demonstrează </w:t>
      </w:r>
      <w:r w:rsidR="00FB15A6" w:rsidRPr="00385EFD">
        <w:rPr>
          <w:rFonts w:ascii="Times New Roman" w:eastAsia="Times New Roman" w:hAnsi="Times New Roman" w:cs="Times New Roman"/>
          <w:sz w:val="24"/>
          <w:szCs w:val="24"/>
          <w:lang w:val="ro-MD"/>
        </w:rPr>
        <w:t>B</w:t>
      </w:r>
      <w:r w:rsidR="00385EFD" w:rsidRPr="00385EFD">
        <w:rPr>
          <w:rFonts w:ascii="Times New Roman" w:eastAsia="Times New Roman" w:hAnsi="Times New Roman" w:cs="Times New Roman"/>
          <w:sz w:val="24"/>
          <w:szCs w:val="24"/>
          <w:lang w:val="ro-MD"/>
        </w:rPr>
        <w:t xml:space="preserve">ăncii </w:t>
      </w:r>
      <w:r w:rsidR="00FB15A6" w:rsidRPr="00385EFD">
        <w:rPr>
          <w:rFonts w:ascii="Times New Roman" w:eastAsia="Times New Roman" w:hAnsi="Times New Roman" w:cs="Times New Roman"/>
          <w:sz w:val="24"/>
          <w:szCs w:val="24"/>
          <w:lang w:val="ro-MD"/>
        </w:rPr>
        <w:t>N</w:t>
      </w:r>
      <w:r w:rsidR="00385EFD" w:rsidRPr="00385EFD">
        <w:rPr>
          <w:rFonts w:ascii="Times New Roman" w:eastAsia="Times New Roman" w:hAnsi="Times New Roman" w:cs="Times New Roman"/>
          <w:sz w:val="24"/>
          <w:szCs w:val="24"/>
          <w:lang w:val="ro-MD"/>
        </w:rPr>
        <w:t xml:space="preserve">aționale a </w:t>
      </w:r>
      <w:r w:rsidR="00FB15A6" w:rsidRPr="00385EFD">
        <w:rPr>
          <w:rFonts w:ascii="Times New Roman" w:eastAsia="Times New Roman" w:hAnsi="Times New Roman" w:cs="Times New Roman"/>
          <w:sz w:val="24"/>
          <w:szCs w:val="24"/>
          <w:lang w:val="ro-MD"/>
        </w:rPr>
        <w:t>M</w:t>
      </w:r>
      <w:r w:rsidR="00385EFD" w:rsidRPr="00385EFD">
        <w:rPr>
          <w:rFonts w:ascii="Times New Roman" w:eastAsia="Times New Roman" w:hAnsi="Times New Roman" w:cs="Times New Roman"/>
          <w:sz w:val="24"/>
          <w:szCs w:val="24"/>
          <w:lang w:val="ro-MD"/>
        </w:rPr>
        <w:t>oldovei</w:t>
      </w:r>
      <w:r w:rsidR="00502671" w:rsidRPr="00502671">
        <w:rPr>
          <w:rFonts w:ascii="Times New Roman" w:eastAsia="Times New Roman" w:hAnsi="Times New Roman" w:cs="Times New Roman"/>
          <w:sz w:val="24"/>
          <w:szCs w:val="24"/>
          <w:lang w:val="ro-MD"/>
        </w:rPr>
        <w:t xml:space="preserve"> că toate condiţiile prevăzute </w:t>
      </w:r>
      <w:r w:rsidR="00502671" w:rsidRPr="009730C2">
        <w:rPr>
          <w:rFonts w:ascii="Times New Roman" w:eastAsia="Times New Roman" w:hAnsi="Times New Roman" w:cs="Times New Roman"/>
          <w:sz w:val="24"/>
          <w:szCs w:val="24"/>
          <w:lang w:val="ro-MD"/>
        </w:rPr>
        <w:t>la</w:t>
      </w:r>
      <w:r w:rsidR="00192061" w:rsidRPr="00CA27C5">
        <w:rPr>
          <w:rFonts w:ascii="Times New Roman" w:eastAsia="Times New Roman" w:hAnsi="Times New Roman" w:cs="Times New Roman"/>
          <w:sz w:val="24"/>
          <w:szCs w:val="24"/>
          <w:lang w:val="ro-MD"/>
        </w:rPr>
        <w:t xml:space="preserve"> </w:t>
      </w:r>
      <w:r w:rsidR="00192061" w:rsidRPr="00A37663">
        <w:rPr>
          <w:rFonts w:ascii="Times New Roman" w:eastAsia="Times New Roman" w:hAnsi="Times New Roman" w:cs="Times New Roman"/>
          <w:sz w:val="24"/>
          <w:szCs w:val="24"/>
          <w:lang w:val="ro-MD"/>
        </w:rPr>
        <w:t>punct</w:t>
      </w:r>
      <w:r w:rsidR="00F7481F" w:rsidRPr="00A37663">
        <w:rPr>
          <w:rFonts w:ascii="Times New Roman" w:eastAsia="Times New Roman" w:hAnsi="Times New Roman" w:cs="Times New Roman"/>
          <w:sz w:val="24"/>
          <w:szCs w:val="24"/>
          <w:lang w:val="ro-MD"/>
        </w:rPr>
        <w:t>ele</w:t>
      </w:r>
      <w:r w:rsidR="00192061" w:rsidRPr="00CA27C5">
        <w:rPr>
          <w:rFonts w:ascii="Times New Roman" w:eastAsia="Times New Roman" w:hAnsi="Times New Roman" w:cs="Times New Roman"/>
          <w:sz w:val="24"/>
          <w:szCs w:val="24"/>
          <w:lang w:val="ro-MD"/>
        </w:rPr>
        <w:t xml:space="preserve"> 21 sau 22</w:t>
      </w:r>
      <w:r w:rsidR="00502671" w:rsidRPr="009730C2">
        <w:rPr>
          <w:rFonts w:ascii="Times New Roman" w:eastAsia="Times New Roman" w:hAnsi="Times New Roman" w:cs="Times New Roman"/>
          <w:sz w:val="24"/>
          <w:szCs w:val="24"/>
          <w:lang w:val="ro-MD"/>
        </w:rPr>
        <w:t xml:space="preserve"> </w:t>
      </w:r>
      <w:r w:rsidR="00502671" w:rsidRPr="00502671">
        <w:rPr>
          <w:rFonts w:ascii="Times New Roman" w:eastAsia="Times New Roman" w:hAnsi="Times New Roman" w:cs="Times New Roman"/>
          <w:sz w:val="24"/>
          <w:szCs w:val="24"/>
          <w:lang w:val="ro-MD"/>
        </w:rPr>
        <w:t>au fost îndeplinite pentru o perioadă neîntreruptă de un an.</w:t>
      </w:r>
      <w:r w:rsidR="00192061">
        <w:rPr>
          <w:rFonts w:ascii="Times New Roman" w:eastAsia="Times New Roman" w:hAnsi="Times New Roman" w:cs="Times New Roman"/>
          <w:sz w:val="24"/>
          <w:szCs w:val="24"/>
          <w:lang w:val="ro-MD"/>
        </w:rPr>
        <w:t xml:space="preserve"> </w:t>
      </w:r>
    </w:p>
    <w:p w14:paraId="55AF4FF7" w14:textId="77777777" w:rsidR="00A718BE" w:rsidRDefault="00A718BE" w:rsidP="00A718BE">
      <w:pPr>
        <w:spacing w:after="0" w:line="240" w:lineRule="auto"/>
        <w:jc w:val="center"/>
        <w:rPr>
          <w:rFonts w:ascii="Times New Roman" w:eastAsia="Times New Roman" w:hAnsi="Times New Roman" w:cs="Times New Roman"/>
          <w:b/>
          <w:bCs/>
          <w:sz w:val="24"/>
          <w:szCs w:val="24"/>
          <w:lang w:val="ro-MD"/>
        </w:rPr>
      </w:pPr>
      <w:r w:rsidRPr="00A718BE">
        <w:rPr>
          <w:rFonts w:ascii="Times New Roman" w:eastAsia="Times New Roman" w:hAnsi="Times New Roman" w:cs="Times New Roman"/>
          <w:b/>
          <w:bCs/>
          <w:sz w:val="24"/>
          <w:szCs w:val="24"/>
          <w:lang w:val="ro-MD"/>
        </w:rPr>
        <w:t>Capitolul III</w:t>
      </w:r>
    </w:p>
    <w:p w14:paraId="097F4925" w14:textId="77777777" w:rsidR="00354DDA" w:rsidRPr="006C31DC" w:rsidRDefault="00354DDA" w:rsidP="00354DDA">
      <w:pPr>
        <w:pStyle w:val="CM4"/>
        <w:spacing w:before="60" w:after="60"/>
        <w:jc w:val="center"/>
        <w:rPr>
          <w:color w:val="000000"/>
        </w:rPr>
      </w:pPr>
      <w:r w:rsidRPr="006C31DC">
        <w:rPr>
          <w:b/>
          <w:bCs/>
          <w:color w:val="000000"/>
        </w:rPr>
        <w:t>Abordarea</w:t>
      </w:r>
      <w:r>
        <w:rPr>
          <w:b/>
          <w:bCs/>
          <w:color w:val="000000"/>
        </w:rPr>
        <w:t xml:space="preserve"> </w:t>
      </w:r>
      <w:r w:rsidRPr="006C31DC">
        <w:rPr>
          <w:b/>
          <w:bCs/>
          <w:color w:val="000000"/>
        </w:rPr>
        <w:t>standardiza</w:t>
      </w:r>
      <w:r>
        <w:rPr>
          <w:b/>
          <w:bCs/>
          <w:color w:val="000000"/>
        </w:rPr>
        <w:t>t</w:t>
      </w:r>
      <w:r w:rsidRPr="006C31DC">
        <w:rPr>
          <w:b/>
          <w:bCs/>
          <w:color w:val="000000"/>
        </w:rPr>
        <w:t>ă pentru</w:t>
      </w:r>
      <w:r>
        <w:rPr>
          <w:b/>
          <w:bCs/>
          <w:color w:val="000000"/>
        </w:rPr>
        <w:t xml:space="preserve"> </w:t>
      </w:r>
      <w:r w:rsidRPr="006C31DC">
        <w:rPr>
          <w:b/>
          <w:bCs/>
          <w:color w:val="000000"/>
        </w:rPr>
        <w:t>riscul de credit</w:t>
      </w:r>
      <w:r>
        <w:rPr>
          <w:b/>
          <w:bCs/>
          <w:color w:val="000000"/>
        </w:rPr>
        <w:t xml:space="preserve"> </w:t>
      </w:r>
      <w:r w:rsidRPr="006C31DC">
        <w:rPr>
          <w:b/>
          <w:bCs/>
          <w:color w:val="000000"/>
        </w:rPr>
        <w:t>al contrapărţii</w:t>
      </w:r>
    </w:p>
    <w:p w14:paraId="7325D0F4" w14:textId="333D1449" w:rsidR="00354DDA" w:rsidRPr="006C31DC" w:rsidRDefault="0036684D" w:rsidP="00354DDA">
      <w:pPr>
        <w:pStyle w:val="CM4"/>
        <w:spacing w:before="60" w:after="60"/>
        <w:jc w:val="center"/>
        <w:rPr>
          <w:color w:val="000000"/>
        </w:rPr>
      </w:pPr>
      <w:r>
        <w:rPr>
          <w:i/>
          <w:iCs/>
          <w:color w:val="000000"/>
        </w:rPr>
        <w:t>Secțiunea 1</w:t>
      </w:r>
    </w:p>
    <w:p w14:paraId="0CCE098B" w14:textId="77777777" w:rsidR="00354DDA" w:rsidRPr="006C31DC" w:rsidRDefault="00354DDA" w:rsidP="00354DDA">
      <w:pPr>
        <w:pStyle w:val="CM4"/>
        <w:spacing w:before="60" w:after="60"/>
        <w:jc w:val="center"/>
        <w:rPr>
          <w:color w:val="000000"/>
        </w:rPr>
      </w:pPr>
      <w:r w:rsidRPr="006C31DC">
        <w:rPr>
          <w:b/>
          <w:bCs/>
          <w:color w:val="000000"/>
        </w:rPr>
        <w:t>Valoarea expunerii</w:t>
      </w:r>
    </w:p>
    <w:p w14:paraId="5750D85C" w14:textId="07DEFCBD" w:rsidR="00354DDA" w:rsidRPr="006C31DC" w:rsidRDefault="00EA3FDE" w:rsidP="00CA27C5">
      <w:pPr>
        <w:pStyle w:val="CM4"/>
        <w:spacing w:before="60" w:after="60"/>
        <w:ind w:firstLine="567"/>
        <w:jc w:val="both"/>
        <w:rPr>
          <w:color w:val="000000"/>
        </w:rPr>
      </w:pPr>
      <w:r>
        <w:rPr>
          <w:b/>
          <w:bCs/>
          <w:color w:val="000000"/>
        </w:rPr>
        <w:t>30</w:t>
      </w:r>
      <w:r w:rsidR="00AD4C5E">
        <w:rPr>
          <w:b/>
          <w:bCs/>
          <w:color w:val="000000"/>
        </w:rPr>
        <w:t>.</w:t>
      </w:r>
      <w:r w:rsidR="00354DDA" w:rsidRPr="006C31DC">
        <w:rPr>
          <w:color w:val="000000"/>
        </w:rPr>
        <w:t xml:space="preserve"> O </w:t>
      </w:r>
      <w:r w:rsidR="0036684D">
        <w:rPr>
          <w:color w:val="000000"/>
        </w:rPr>
        <w:t>bancă</w:t>
      </w:r>
      <w:r w:rsidR="00354DDA" w:rsidRPr="006C31DC">
        <w:rPr>
          <w:color w:val="000000"/>
        </w:rPr>
        <w:t xml:space="preserve"> poate calcula o singură valoare a expunerii la nivelul setului de compensare pentru toate tranzacţiile care fac obiectul unui acord de compensare contractuală în cazul în care sunt îndeplinite cumulativ următoarele condiţii:</w:t>
      </w:r>
    </w:p>
    <w:p w14:paraId="53892A78" w14:textId="0BAB257A" w:rsidR="00354DDA" w:rsidRPr="006C31DC" w:rsidRDefault="006903FB" w:rsidP="00CA27C5">
      <w:pPr>
        <w:pStyle w:val="CM4"/>
        <w:spacing w:before="60" w:after="60"/>
        <w:ind w:firstLine="567"/>
        <w:jc w:val="both"/>
        <w:rPr>
          <w:color w:val="000000"/>
        </w:rPr>
      </w:pPr>
      <w:r>
        <w:rPr>
          <w:color w:val="000000"/>
        </w:rPr>
        <w:t>1</w:t>
      </w:r>
      <w:r w:rsidR="00354DDA" w:rsidRPr="006C31DC">
        <w:rPr>
          <w:color w:val="000000"/>
        </w:rPr>
        <w:t xml:space="preserve">) acordul de compensare face parte dintr-unul dintre tipurile de acorduri de compensare contractuală menţionate la </w:t>
      </w:r>
      <w:r w:rsidR="00073409" w:rsidRPr="00DA5849">
        <w:rPr>
          <w:color w:val="000000"/>
        </w:rPr>
        <w:t xml:space="preserve">punctul </w:t>
      </w:r>
      <w:r w:rsidR="00DA5849" w:rsidRPr="00CA27C5">
        <w:rPr>
          <w:color w:val="000000"/>
        </w:rPr>
        <w:t>90</w:t>
      </w:r>
      <w:r w:rsidR="00354DDA" w:rsidRPr="00DA5849">
        <w:rPr>
          <w:color w:val="000000"/>
        </w:rPr>
        <w:t>;</w:t>
      </w:r>
    </w:p>
    <w:p w14:paraId="502F30C2" w14:textId="19C69361" w:rsidR="00354DDA" w:rsidRPr="006C31DC" w:rsidRDefault="006903FB" w:rsidP="00CA27C5">
      <w:pPr>
        <w:pStyle w:val="CM4"/>
        <w:spacing w:before="60" w:after="60"/>
        <w:ind w:firstLine="567"/>
        <w:jc w:val="both"/>
        <w:rPr>
          <w:color w:val="000000"/>
        </w:rPr>
      </w:pPr>
      <w:r>
        <w:rPr>
          <w:color w:val="000000"/>
        </w:rPr>
        <w:t>2</w:t>
      </w:r>
      <w:r w:rsidR="00354DDA" w:rsidRPr="006C31DC">
        <w:rPr>
          <w:color w:val="000000"/>
        </w:rPr>
        <w:t xml:space="preserve">) acordul de compensare a fost recunoscut de </w:t>
      </w:r>
      <w:r w:rsidR="00FB15A6" w:rsidRPr="00385EFD">
        <w:rPr>
          <w:color w:val="000000"/>
        </w:rPr>
        <w:t>B</w:t>
      </w:r>
      <w:r w:rsidR="00385EFD" w:rsidRPr="00385EFD">
        <w:rPr>
          <w:color w:val="000000"/>
        </w:rPr>
        <w:t xml:space="preserve">anca </w:t>
      </w:r>
      <w:r w:rsidR="00FB15A6" w:rsidRPr="00385EFD">
        <w:rPr>
          <w:color w:val="000000"/>
        </w:rPr>
        <w:t>N</w:t>
      </w:r>
      <w:r w:rsidR="00385EFD" w:rsidRPr="00385EFD">
        <w:rPr>
          <w:color w:val="000000"/>
        </w:rPr>
        <w:t xml:space="preserve">ațională a </w:t>
      </w:r>
      <w:r w:rsidR="00FB15A6" w:rsidRPr="00385EFD">
        <w:rPr>
          <w:color w:val="000000"/>
        </w:rPr>
        <w:t>M</w:t>
      </w:r>
      <w:r w:rsidR="00385EFD">
        <w:rPr>
          <w:color w:val="000000"/>
        </w:rPr>
        <w:t>oldovei</w:t>
      </w:r>
      <w:r w:rsidR="00354DDA" w:rsidRPr="006C31DC">
        <w:rPr>
          <w:color w:val="000000"/>
        </w:rPr>
        <w:t xml:space="preserve"> în conformitate cu </w:t>
      </w:r>
      <w:r w:rsidR="00073409" w:rsidRPr="00DA5849">
        <w:rPr>
          <w:color w:val="000000"/>
        </w:rPr>
        <w:t xml:space="preserve">punctele </w:t>
      </w:r>
      <w:r w:rsidR="00DA5849" w:rsidRPr="00CA27C5">
        <w:rPr>
          <w:color w:val="000000"/>
        </w:rPr>
        <w:t>92</w:t>
      </w:r>
      <w:r w:rsidR="00073409" w:rsidRPr="00DA5849">
        <w:rPr>
          <w:color w:val="000000"/>
        </w:rPr>
        <w:t xml:space="preserve"> și </w:t>
      </w:r>
      <w:r w:rsidR="00DA5849" w:rsidRPr="00CA27C5">
        <w:rPr>
          <w:color w:val="000000"/>
        </w:rPr>
        <w:t>93</w:t>
      </w:r>
      <w:r w:rsidR="00354DDA" w:rsidRPr="00DA5849">
        <w:rPr>
          <w:color w:val="000000"/>
        </w:rPr>
        <w:t>;</w:t>
      </w:r>
    </w:p>
    <w:p w14:paraId="3D6E6349" w14:textId="148A0619" w:rsidR="00354DDA" w:rsidRPr="006C31DC" w:rsidRDefault="006903FB" w:rsidP="00CA27C5">
      <w:pPr>
        <w:pStyle w:val="CM4"/>
        <w:spacing w:before="60" w:after="60"/>
        <w:ind w:firstLine="567"/>
        <w:jc w:val="both"/>
        <w:rPr>
          <w:color w:val="000000"/>
        </w:rPr>
      </w:pPr>
      <w:r>
        <w:rPr>
          <w:color w:val="000000"/>
        </w:rPr>
        <w:t>3</w:t>
      </w:r>
      <w:r w:rsidR="00354DDA" w:rsidRPr="006C31DC">
        <w:rPr>
          <w:color w:val="000000"/>
        </w:rPr>
        <w:t xml:space="preserve">) </w:t>
      </w:r>
      <w:r w:rsidR="00CE45CB">
        <w:rPr>
          <w:color w:val="000000"/>
        </w:rPr>
        <w:t xml:space="preserve">banca </w:t>
      </w:r>
      <w:r w:rsidR="00354DDA" w:rsidRPr="006C31DC">
        <w:rPr>
          <w:color w:val="000000"/>
        </w:rPr>
        <w:t xml:space="preserve">și-a îndeplinit obligaţiile prevăzute la </w:t>
      </w:r>
      <w:r w:rsidR="00CE45CB" w:rsidRPr="00DA5849">
        <w:rPr>
          <w:color w:val="000000"/>
        </w:rPr>
        <w:t xml:space="preserve">punctele </w:t>
      </w:r>
      <w:r w:rsidR="00DA5849" w:rsidRPr="00CA27C5">
        <w:rPr>
          <w:color w:val="000000"/>
        </w:rPr>
        <w:t>94</w:t>
      </w:r>
      <w:r w:rsidR="00CE45CB" w:rsidRPr="00DA5849">
        <w:rPr>
          <w:color w:val="000000"/>
        </w:rPr>
        <w:t>-</w:t>
      </w:r>
      <w:r w:rsidR="00DA5849" w:rsidRPr="00DA5849">
        <w:rPr>
          <w:color w:val="000000"/>
        </w:rPr>
        <w:t>96</w:t>
      </w:r>
      <w:r w:rsidR="00CE45CB">
        <w:rPr>
          <w:color w:val="000000"/>
        </w:rPr>
        <w:t xml:space="preserve"> </w:t>
      </w:r>
      <w:r w:rsidR="00354DDA" w:rsidRPr="006C31DC">
        <w:rPr>
          <w:color w:val="000000"/>
        </w:rPr>
        <w:t xml:space="preserve"> în ceea ce privește acordul de compensare. </w:t>
      </w:r>
    </w:p>
    <w:p w14:paraId="4EE3B512" w14:textId="5FF538D5" w:rsidR="00354DDA" w:rsidRPr="006C31DC" w:rsidRDefault="00AD4C5E" w:rsidP="00CA27C5">
      <w:pPr>
        <w:pStyle w:val="CM4"/>
        <w:spacing w:before="60" w:after="60"/>
        <w:ind w:firstLine="567"/>
        <w:jc w:val="both"/>
        <w:rPr>
          <w:color w:val="000000"/>
        </w:rPr>
      </w:pPr>
      <w:r>
        <w:rPr>
          <w:b/>
          <w:bCs/>
          <w:color w:val="000000"/>
        </w:rPr>
        <w:t>3</w:t>
      </w:r>
      <w:r w:rsidR="00EA3FDE">
        <w:rPr>
          <w:b/>
          <w:bCs/>
          <w:color w:val="000000"/>
        </w:rPr>
        <w:t>1</w:t>
      </w:r>
      <w:r w:rsidR="00CE45CB" w:rsidRPr="00CA27C5">
        <w:rPr>
          <w:b/>
          <w:bCs/>
          <w:color w:val="000000"/>
        </w:rPr>
        <w:t>.</w:t>
      </w:r>
      <w:r w:rsidR="00CE45CB">
        <w:rPr>
          <w:color w:val="000000"/>
        </w:rPr>
        <w:t xml:space="preserve"> </w:t>
      </w:r>
      <w:r w:rsidR="00354DDA" w:rsidRPr="006C31DC">
        <w:rPr>
          <w:color w:val="000000"/>
        </w:rPr>
        <w:t xml:space="preserve">În cazul în care oricare dintre condiţiile prevăzute la </w:t>
      </w:r>
      <w:r w:rsidR="00CE45CB" w:rsidRPr="00AD4C5E">
        <w:rPr>
          <w:color w:val="000000"/>
        </w:rPr>
        <w:t xml:space="preserve">punctul </w:t>
      </w:r>
      <w:r w:rsidR="00D1563C">
        <w:rPr>
          <w:color w:val="000000"/>
        </w:rPr>
        <w:t>30</w:t>
      </w:r>
      <w:r w:rsidR="00354DDA" w:rsidRPr="006C31DC">
        <w:rPr>
          <w:color w:val="000000"/>
        </w:rPr>
        <w:t xml:space="preserve"> nu este îndeplinită, </w:t>
      </w:r>
      <w:r w:rsidR="00CE45CB">
        <w:rPr>
          <w:color w:val="000000"/>
        </w:rPr>
        <w:t xml:space="preserve">banca </w:t>
      </w:r>
      <w:r w:rsidR="00354DDA" w:rsidRPr="006C31DC">
        <w:rPr>
          <w:color w:val="000000"/>
        </w:rPr>
        <w:t xml:space="preserve">tratează fiecare tranzacţie ca și cum ar fi propriul său set de compensare. </w:t>
      </w:r>
    </w:p>
    <w:p w14:paraId="10A64D4E" w14:textId="2494C759" w:rsidR="00354DDA" w:rsidRPr="006C31DC" w:rsidRDefault="00AD4C5E" w:rsidP="00CA27C5">
      <w:pPr>
        <w:pStyle w:val="CM4"/>
        <w:spacing w:before="60" w:after="60"/>
        <w:ind w:firstLine="567"/>
        <w:jc w:val="both"/>
        <w:rPr>
          <w:color w:val="000000"/>
        </w:rPr>
      </w:pPr>
      <w:r>
        <w:rPr>
          <w:b/>
          <w:bCs/>
          <w:color w:val="000000"/>
        </w:rPr>
        <w:t>3</w:t>
      </w:r>
      <w:r w:rsidR="00EA3FDE">
        <w:rPr>
          <w:b/>
          <w:bCs/>
          <w:color w:val="000000"/>
        </w:rPr>
        <w:t>2</w:t>
      </w:r>
      <w:r w:rsidR="00FB3940" w:rsidRPr="00CA27C5">
        <w:rPr>
          <w:b/>
          <w:bCs/>
          <w:color w:val="000000"/>
        </w:rPr>
        <w:t>.</w:t>
      </w:r>
      <w:r w:rsidR="001B1A7B">
        <w:rPr>
          <w:b/>
          <w:bCs/>
          <w:color w:val="000000"/>
        </w:rPr>
        <w:t xml:space="preserve"> </w:t>
      </w:r>
      <w:r w:rsidR="00FB3940">
        <w:rPr>
          <w:color w:val="000000"/>
        </w:rPr>
        <w:t>Băncile</w:t>
      </w:r>
      <w:r w:rsidR="00354DDA" w:rsidRPr="006C31DC">
        <w:rPr>
          <w:color w:val="000000"/>
        </w:rPr>
        <w:t xml:space="preserve"> calculează valoarea expunerii unui set de compensare conform abordării standardizate pentru riscul de credit al contrapărţii după cum urmează: </w:t>
      </w:r>
    </w:p>
    <w:p w14:paraId="56F0740A" w14:textId="464C297A" w:rsidR="00354DDA" w:rsidRPr="00FB3940" w:rsidRDefault="00354DDA" w:rsidP="00CA27C5">
      <w:pPr>
        <w:pStyle w:val="CM4"/>
        <w:spacing w:before="60" w:after="60"/>
        <w:ind w:firstLine="567"/>
        <w:jc w:val="center"/>
        <w:rPr>
          <w:color w:val="000000"/>
        </w:rPr>
      </w:pPr>
      <w:r w:rsidRPr="00FB3940">
        <w:rPr>
          <w:color w:val="000000"/>
        </w:rPr>
        <w:t>Valoarea expunerii = α · (RC + PFE)</w:t>
      </w:r>
    </w:p>
    <w:p w14:paraId="61A08124" w14:textId="77777777" w:rsidR="00354DDA" w:rsidRPr="006C31DC" w:rsidRDefault="00354DDA" w:rsidP="00CA27C5">
      <w:pPr>
        <w:pStyle w:val="CM4"/>
        <w:spacing w:before="60" w:after="60"/>
        <w:ind w:firstLine="567"/>
        <w:rPr>
          <w:color w:val="000000"/>
        </w:rPr>
      </w:pPr>
      <w:r w:rsidRPr="006C31DC">
        <w:rPr>
          <w:color w:val="000000"/>
        </w:rPr>
        <w:t xml:space="preserve">unde: </w:t>
      </w:r>
    </w:p>
    <w:p w14:paraId="6587364A" w14:textId="79C39926" w:rsidR="00354DDA" w:rsidRPr="006C31DC" w:rsidRDefault="00354DDA" w:rsidP="00CA27C5">
      <w:pPr>
        <w:pStyle w:val="CM4"/>
        <w:spacing w:before="60" w:after="60"/>
        <w:ind w:firstLine="567"/>
        <w:rPr>
          <w:color w:val="000000"/>
        </w:rPr>
      </w:pPr>
      <w:r w:rsidRPr="006C31DC">
        <w:rPr>
          <w:color w:val="000000"/>
        </w:rPr>
        <w:t xml:space="preserve">RC = costul de înlocuire, calculat în </w:t>
      </w:r>
      <w:r w:rsidRPr="004C5695">
        <w:rPr>
          <w:color w:val="000000"/>
        </w:rPr>
        <w:t xml:space="preserve">conformitate cu </w:t>
      </w:r>
      <w:r w:rsidR="004C5695">
        <w:rPr>
          <w:color w:val="000000"/>
        </w:rPr>
        <w:t>punctele 38</w:t>
      </w:r>
      <w:r w:rsidR="00782C2F">
        <w:rPr>
          <w:color w:val="000000"/>
        </w:rPr>
        <w:t>-40</w:t>
      </w:r>
      <w:r w:rsidRPr="006C31DC">
        <w:rPr>
          <w:color w:val="000000"/>
        </w:rPr>
        <w:t xml:space="preserve">; și </w:t>
      </w:r>
    </w:p>
    <w:p w14:paraId="0F3AAA86" w14:textId="1CCE7971" w:rsidR="00354DDA" w:rsidRPr="006C31DC" w:rsidRDefault="00354DDA" w:rsidP="00CA27C5">
      <w:pPr>
        <w:pStyle w:val="CM4"/>
        <w:spacing w:before="60" w:after="60"/>
        <w:ind w:firstLine="567"/>
        <w:rPr>
          <w:color w:val="000000"/>
        </w:rPr>
      </w:pPr>
      <w:r w:rsidRPr="006C31DC">
        <w:rPr>
          <w:color w:val="000000"/>
        </w:rPr>
        <w:t xml:space="preserve">PFE = expunerea viitoare potenţială calculată în conformitate cu </w:t>
      </w:r>
      <w:r w:rsidR="004C5695">
        <w:rPr>
          <w:color w:val="000000"/>
        </w:rPr>
        <w:t>punctele 51-53</w:t>
      </w:r>
      <w:r w:rsidRPr="006C31DC">
        <w:rPr>
          <w:color w:val="000000"/>
        </w:rPr>
        <w:t xml:space="preserve">; </w:t>
      </w:r>
    </w:p>
    <w:p w14:paraId="58AC90E6" w14:textId="77777777" w:rsidR="00354DDA" w:rsidRPr="006C31DC" w:rsidRDefault="00354DDA" w:rsidP="00CA27C5">
      <w:pPr>
        <w:pStyle w:val="CM4"/>
        <w:spacing w:before="60" w:after="60"/>
        <w:ind w:firstLine="567"/>
        <w:rPr>
          <w:color w:val="000000"/>
        </w:rPr>
      </w:pPr>
      <w:r w:rsidRPr="006C31DC">
        <w:rPr>
          <w:color w:val="000000"/>
        </w:rPr>
        <w:t xml:space="preserve">α = 1,4. </w:t>
      </w:r>
    </w:p>
    <w:p w14:paraId="6F3FA690" w14:textId="524AEBA9" w:rsidR="00354DDA" w:rsidRPr="006C31DC" w:rsidRDefault="00AD4C5E" w:rsidP="00CA27C5">
      <w:pPr>
        <w:pStyle w:val="CM4"/>
        <w:spacing w:before="60" w:after="60"/>
        <w:ind w:firstLine="567"/>
        <w:jc w:val="both"/>
        <w:rPr>
          <w:color w:val="000000"/>
        </w:rPr>
      </w:pPr>
      <w:r>
        <w:rPr>
          <w:b/>
          <w:bCs/>
          <w:color w:val="000000"/>
        </w:rPr>
        <w:t>3</w:t>
      </w:r>
      <w:r w:rsidR="00EA3FDE">
        <w:rPr>
          <w:b/>
          <w:bCs/>
          <w:color w:val="000000"/>
        </w:rPr>
        <w:t>3</w:t>
      </w:r>
      <w:r w:rsidR="00FB3940" w:rsidRPr="00CA27C5">
        <w:rPr>
          <w:b/>
          <w:bCs/>
          <w:color w:val="000000"/>
        </w:rPr>
        <w:t>.</w:t>
      </w:r>
      <w:r w:rsidR="00354DDA" w:rsidRPr="00CA27C5">
        <w:rPr>
          <w:b/>
          <w:bCs/>
          <w:color w:val="000000"/>
        </w:rPr>
        <w:t xml:space="preserve"> </w:t>
      </w:r>
      <w:r w:rsidR="00354DDA" w:rsidRPr="006C31DC">
        <w:rPr>
          <w:color w:val="000000"/>
        </w:rPr>
        <w:t xml:space="preserve">Valoarea expunerii unui set de compensare care face obiectul unui contract în marjă este plafonată la nivelul valorii expunerii aceluiași set de compensare în cazul în care nu ar face obiectul niciunei forme de contract în marjă. </w:t>
      </w:r>
    </w:p>
    <w:p w14:paraId="77E5C870" w14:textId="202944EF" w:rsidR="00354DDA" w:rsidRPr="006C31DC" w:rsidRDefault="00AD4C5E" w:rsidP="00CA27C5">
      <w:pPr>
        <w:pStyle w:val="CM4"/>
        <w:spacing w:before="60" w:after="60"/>
        <w:ind w:firstLine="567"/>
        <w:jc w:val="both"/>
        <w:rPr>
          <w:color w:val="000000"/>
        </w:rPr>
      </w:pPr>
      <w:r>
        <w:rPr>
          <w:b/>
          <w:bCs/>
          <w:color w:val="000000"/>
        </w:rPr>
        <w:t>3</w:t>
      </w:r>
      <w:r w:rsidR="00EA3FDE">
        <w:rPr>
          <w:b/>
          <w:bCs/>
          <w:color w:val="000000"/>
        </w:rPr>
        <w:t>4</w:t>
      </w:r>
      <w:r w:rsidR="00FB3940" w:rsidRPr="00CA27C5">
        <w:rPr>
          <w:b/>
          <w:bCs/>
          <w:color w:val="000000"/>
        </w:rPr>
        <w:t>.</w:t>
      </w:r>
      <w:r w:rsidR="00354DDA" w:rsidRPr="006C31DC">
        <w:rPr>
          <w:color w:val="000000"/>
        </w:rPr>
        <w:t xml:space="preserve"> În cazul în care unui set de compensare i se aplică mai multe contracte în marjă</w:t>
      </w:r>
      <w:r w:rsidR="00FB3940">
        <w:rPr>
          <w:color w:val="000000"/>
        </w:rPr>
        <w:t>, băncile</w:t>
      </w:r>
      <w:r w:rsidR="00354DDA" w:rsidRPr="006C31DC">
        <w:rPr>
          <w:color w:val="000000"/>
        </w:rPr>
        <w:t xml:space="preserve"> atribuie fiecare contract în marjă grupului de tranzacţii din setul de compensare căruia i se aplică contractul în marjă conform clauzelor contractuale și calculează separat câte o valoare a expunerii pentru fiecare dintre aceste tranzacţii grupate. </w:t>
      </w:r>
    </w:p>
    <w:p w14:paraId="454760B5" w14:textId="72C8A14D" w:rsidR="00354DDA" w:rsidRPr="006C31DC" w:rsidRDefault="00AD4C5E" w:rsidP="00CA27C5">
      <w:pPr>
        <w:pStyle w:val="CM4"/>
        <w:spacing w:before="60" w:after="60"/>
        <w:ind w:firstLine="567"/>
        <w:jc w:val="both"/>
        <w:rPr>
          <w:color w:val="000000"/>
        </w:rPr>
      </w:pPr>
      <w:r>
        <w:rPr>
          <w:b/>
          <w:bCs/>
          <w:color w:val="000000"/>
        </w:rPr>
        <w:t>3</w:t>
      </w:r>
      <w:r w:rsidR="00EA3FDE">
        <w:rPr>
          <w:b/>
          <w:bCs/>
          <w:color w:val="000000"/>
        </w:rPr>
        <w:t>5</w:t>
      </w:r>
      <w:r w:rsidR="003A26BC" w:rsidRPr="00CA27C5">
        <w:rPr>
          <w:b/>
          <w:bCs/>
          <w:color w:val="000000"/>
        </w:rPr>
        <w:t>.</w:t>
      </w:r>
      <w:r w:rsidR="00354DDA" w:rsidRPr="006C31DC">
        <w:rPr>
          <w:color w:val="000000"/>
        </w:rPr>
        <w:t xml:space="preserve"> </w:t>
      </w:r>
      <w:r w:rsidR="003A26BC">
        <w:rPr>
          <w:color w:val="000000"/>
        </w:rPr>
        <w:t xml:space="preserve">Băncile </w:t>
      </w:r>
      <w:r w:rsidR="00354DDA" w:rsidRPr="006C31DC">
        <w:rPr>
          <w:color w:val="000000"/>
        </w:rPr>
        <w:t xml:space="preserve">pot stabili ca valoarea expunerii să fie zero pentru un set de compensare care îndeplinește cumulativ următoarele condiţii: </w:t>
      </w:r>
    </w:p>
    <w:p w14:paraId="5E55C882" w14:textId="163E9756" w:rsidR="00354DDA" w:rsidRPr="006C31DC" w:rsidRDefault="006903FB" w:rsidP="00CA27C5">
      <w:pPr>
        <w:pStyle w:val="CM4"/>
        <w:spacing w:before="60" w:after="60"/>
        <w:ind w:firstLine="567"/>
        <w:jc w:val="both"/>
        <w:rPr>
          <w:color w:val="000000"/>
        </w:rPr>
      </w:pPr>
      <w:r>
        <w:rPr>
          <w:color w:val="000000"/>
        </w:rPr>
        <w:t>1</w:t>
      </w:r>
      <w:r w:rsidR="00354DDA" w:rsidRPr="006C31DC">
        <w:rPr>
          <w:color w:val="000000"/>
        </w:rPr>
        <w:t xml:space="preserve">) setul de compensare este alcătuit exclusiv din opţiuni vândute; </w:t>
      </w:r>
    </w:p>
    <w:p w14:paraId="1BFA0B61" w14:textId="1BC6AC1D" w:rsidR="00354DDA" w:rsidRPr="006C31DC" w:rsidRDefault="006903FB" w:rsidP="00CA27C5">
      <w:pPr>
        <w:pStyle w:val="CM4"/>
        <w:spacing w:before="60" w:after="60"/>
        <w:ind w:firstLine="567"/>
        <w:jc w:val="both"/>
        <w:rPr>
          <w:color w:val="000000"/>
        </w:rPr>
      </w:pPr>
      <w:r>
        <w:rPr>
          <w:color w:val="000000"/>
        </w:rPr>
        <w:t>2</w:t>
      </w:r>
      <w:r w:rsidR="00354DDA" w:rsidRPr="006C31DC">
        <w:rPr>
          <w:color w:val="000000"/>
        </w:rPr>
        <w:t xml:space="preserve">) valoarea curentă de piaţă a setului de compensare este în orice moment negativă; </w:t>
      </w:r>
    </w:p>
    <w:p w14:paraId="62934E25" w14:textId="22360B38" w:rsidR="00354DDA" w:rsidRPr="006C31DC" w:rsidRDefault="006903FB" w:rsidP="00CA27C5">
      <w:pPr>
        <w:pStyle w:val="CM4"/>
        <w:spacing w:before="60" w:after="60"/>
        <w:ind w:firstLine="567"/>
        <w:jc w:val="both"/>
        <w:rPr>
          <w:color w:val="000000"/>
        </w:rPr>
      </w:pPr>
      <w:r>
        <w:rPr>
          <w:color w:val="000000"/>
        </w:rPr>
        <w:t>3</w:t>
      </w:r>
      <w:r w:rsidR="00354DDA" w:rsidRPr="006C31DC">
        <w:rPr>
          <w:color w:val="000000"/>
        </w:rPr>
        <w:t xml:space="preserve">) prima pentru toate opţiunile incluse în setul de compensare a fost primită în avans de către </w:t>
      </w:r>
      <w:r w:rsidR="003A26BC">
        <w:rPr>
          <w:color w:val="000000"/>
        </w:rPr>
        <w:t xml:space="preserve">bancă </w:t>
      </w:r>
      <w:r w:rsidR="00354DDA" w:rsidRPr="006C31DC">
        <w:rPr>
          <w:color w:val="000000"/>
        </w:rPr>
        <w:t xml:space="preserve">pentru a garanta executarea contractelor; </w:t>
      </w:r>
    </w:p>
    <w:p w14:paraId="4829CD57" w14:textId="239C7F29" w:rsidR="00354DDA" w:rsidRPr="006C31DC" w:rsidRDefault="006903FB" w:rsidP="00CA27C5">
      <w:pPr>
        <w:pStyle w:val="CM4"/>
        <w:spacing w:before="60" w:after="60"/>
        <w:ind w:firstLine="567"/>
        <w:jc w:val="both"/>
        <w:rPr>
          <w:color w:val="000000"/>
        </w:rPr>
      </w:pPr>
      <w:r>
        <w:rPr>
          <w:color w:val="000000"/>
        </w:rPr>
        <w:t>4</w:t>
      </w:r>
      <w:r w:rsidR="00354DDA" w:rsidRPr="006C31DC">
        <w:rPr>
          <w:color w:val="000000"/>
        </w:rPr>
        <w:t xml:space="preserve">) setul de compensare nu face obiectul niciunui contract în marjă. </w:t>
      </w:r>
    </w:p>
    <w:p w14:paraId="06B74BAA" w14:textId="6D240B9D" w:rsidR="00354DDA" w:rsidRPr="006C31DC" w:rsidRDefault="008551AC" w:rsidP="00CA27C5">
      <w:pPr>
        <w:pStyle w:val="CM4"/>
        <w:spacing w:before="60" w:after="60"/>
        <w:ind w:firstLine="567"/>
        <w:jc w:val="both"/>
        <w:rPr>
          <w:color w:val="000000"/>
        </w:rPr>
      </w:pPr>
      <w:r>
        <w:rPr>
          <w:b/>
          <w:bCs/>
          <w:color w:val="000000"/>
        </w:rPr>
        <w:t>3</w:t>
      </w:r>
      <w:r w:rsidR="00EA3FDE">
        <w:rPr>
          <w:b/>
          <w:bCs/>
          <w:color w:val="000000"/>
        </w:rPr>
        <w:t>6</w:t>
      </w:r>
      <w:r w:rsidR="003A26BC" w:rsidRPr="00CA27C5">
        <w:rPr>
          <w:b/>
          <w:bCs/>
          <w:color w:val="000000"/>
        </w:rPr>
        <w:t>.</w:t>
      </w:r>
      <w:r w:rsidR="00354DDA" w:rsidRPr="006C31DC">
        <w:rPr>
          <w:color w:val="000000"/>
        </w:rPr>
        <w:t xml:space="preserve"> Într-un set de compensare, </w:t>
      </w:r>
      <w:r w:rsidR="003A26BC">
        <w:rPr>
          <w:color w:val="000000"/>
        </w:rPr>
        <w:t>băncile</w:t>
      </w:r>
      <w:r w:rsidR="00354DDA" w:rsidRPr="006C31DC">
        <w:rPr>
          <w:color w:val="000000"/>
        </w:rPr>
        <w:t xml:space="preserve"> înlocuiesc o tranzacţie care este o combinaţie liniară finită de opţiuni call sau put cumpărate sau vândute cu toate opţiunile individuale care formează combinaţia liniară respectivă, privite ca o tranzacţie individuală, pentru a calcula valoarea expunerii setului de compensare în conformitate cu prezenta secţiune. Fiecare combinaţie de opţiuni de acest </w:t>
      </w:r>
      <w:r w:rsidR="00354DDA" w:rsidRPr="006C31DC">
        <w:rPr>
          <w:color w:val="000000"/>
        </w:rPr>
        <w:lastRenderedPageBreak/>
        <w:t xml:space="preserve">tip este considerată ca o tranzacţie individuală din setul de compensare în care este inclusă combinaţia pentru a calcula valoarea expunerii. </w:t>
      </w:r>
    </w:p>
    <w:p w14:paraId="40DE700E" w14:textId="06AB2CB7" w:rsidR="00354DDA" w:rsidRPr="006C31DC" w:rsidRDefault="008551AC" w:rsidP="00CA27C5">
      <w:pPr>
        <w:pStyle w:val="CM4"/>
        <w:spacing w:before="60" w:after="60"/>
        <w:ind w:firstLine="567"/>
        <w:jc w:val="both"/>
        <w:rPr>
          <w:color w:val="000000"/>
        </w:rPr>
      </w:pPr>
      <w:r>
        <w:rPr>
          <w:b/>
          <w:bCs/>
          <w:color w:val="000000"/>
        </w:rPr>
        <w:t>3</w:t>
      </w:r>
      <w:r w:rsidR="00EA3FDE">
        <w:rPr>
          <w:b/>
          <w:bCs/>
          <w:color w:val="000000"/>
        </w:rPr>
        <w:t>7</w:t>
      </w:r>
      <w:r w:rsidR="007841A0" w:rsidRPr="00CA27C5">
        <w:rPr>
          <w:b/>
          <w:bCs/>
          <w:color w:val="000000"/>
        </w:rPr>
        <w:t>.</w:t>
      </w:r>
      <w:r w:rsidR="00354DDA" w:rsidRPr="006C31DC">
        <w:rPr>
          <w:color w:val="000000"/>
        </w:rPr>
        <w:t xml:space="preserve"> Valoarea expunerii unei tranzacţii cu instrumente financiare derivate de credit care reprezintă o poziţie lungă în suport poate fi plafonată la cuantumul primei neplătite restante, cu condiţia ca aceasta să fie tratată drept propriul său set de compensare care nu face obiectul unui contract în marjă.</w:t>
      </w:r>
    </w:p>
    <w:p w14:paraId="307DA4E0" w14:textId="51D98AC9" w:rsidR="00354DDA" w:rsidRPr="006C31DC" w:rsidRDefault="007841A0" w:rsidP="00354DDA">
      <w:pPr>
        <w:pStyle w:val="CM4"/>
        <w:spacing w:before="60" w:after="60"/>
        <w:jc w:val="center"/>
        <w:rPr>
          <w:color w:val="000000"/>
        </w:rPr>
      </w:pPr>
      <w:r>
        <w:rPr>
          <w:i/>
          <w:iCs/>
          <w:color w:val="000000"/>
        </w:rPr>
        <w:t xml:space="preserve">Secțiunea </w:t>
      </w:r>
      <w:r w:rsidR="0099409E">
        <w:rPr>
          <w:i/>
          <w:iCs/>
          <w:color w:val="000000"/>
        </w:rPr>
        <w:t xml:space="preserve">a </w:t>
      </w:r>
      <w:r>
        <w:rPr>
          <w:i/>
          <w:iCs/>
          <w:color w:val="000000"/>
        </w:rPr>
        <w:t>2</w:t>
      </w:r>
      <w:r w:rsidR="0099409E">
        <w:rPr>
          <w:i/>
          <w:iCs/>
          <w:color w:val="000000"/>
        </w:rPr>
        <w:t>-a</w:t>
      </w:r>
    </w:p>
    <w:p w14:paraId="5F2AEC68" w14:textId="77777777" w:rsidR="00354DDA" w:rsidRPr="006C31DC" w:rsidRDefault="00354DDA" w:rsidP="00354DDA">
      <w:pPr>
        <w:pStyle w:val="CM4"/>
        <w:spacing w:before="60" w:after="60"/>
        <w:jc w:val="center"/>
        <w:rPr>
          <w:color w:val="000000"/>
        </w:rPr>
      </w:pPr>
      <w:r w:rsidRPr="006C31DC">
        <w:rPr>
          <w:b/>
          <w:bCs/>
          <w:color w:val="000000"/>
        </w:rPr>
        <w:t>Costul de înlocuire</w:t>
      </w:r>
    </w:p>
    <w:p w14:paraId="0CBC331E" w14:textId="7FDC3069" w:rsidR="00354DDA" w:rsidRPr="006C31DC" w:rsidRDefault="008551AC" w:rsidP="00CA27C5">
      <w:pPr>
        <w:pStyle w:val="CM4"/>
        <w:spacing w:before="60" w:after="60"/>
        <w:ind w:firstLine="567"/>
        <w:jc w:val="both"/>
        <w:rPr>
          <w:color w:val="000000"/>
        </w:rPr>
      </w:pPr>
      <w:r>
        <w:rPr>
          <w:b/>
          <w:bCs/>
          <w:color w:val="000000"/>
        </w:rPr>
        <w:t>3</w:t>
      </w:r>
      <w:r w:rsidR="00EA3FDE">
        <w:rPr>
          <w:b/>
          <w:bCs/>
          <w:color w:val="000000"/>
        </w:rPr>
        <w:t>8</w:t>
      </w:r>
      <w:r w:rsidR="007841A0" w:rsidRPr="00CA27C5">
        <w:rPr>
          <w:b/>
          <w:bCs/>
          <w:color w:val="000000"/>
        </w:rPr>
        <w:t>.</w:t>
      </w:r>
      <w:r w:rsidR="00354DDA" w:rsidRPr="006C31DC">
        <w:rPr>
          <w:color w:val="000000"/>
        </w:rPr>
        <w:t xml:space="preserve"> </w:t>
      </w:r>
      <w:r w:rsidR="007841A0">
        <w:rPr>
          <w:color w:val="000000"/>
        </w:rPr>
        <w:t>Băncile</w:t>
      </w:r>
      <w:r w:rsidR="00354DDA" w:rsidRPr="006C31DC">
        <w:rPr>
          <w:color w:val="000000"/>
        </w:rPr>
        <w:t xml:space="preserve"> calculează costul de înlocuire RC pentru seturile de compensare care nu fac obiectul unui contract în marjă în conformitate cu următoarea formulă: </w:t>
      </w:r>
    </w:p>
    <w:p w14:paraId="2B01B781" w14:textId="77777777" w:rsidR="00354DDA" w:rsidRPr="006C31DC" w:rsidRDefault="00354DDA" w:rsidP="00F35354">
      <w:pPr>
        <w:pStyle w:val="CM4"/>
        <w:spacing w:before="60" w:after="60"/>
        <w:ind w:firstLine="567"/>
        <w:jc w:val="center"/>
        <w:rPr>
          <w:color w:val="000000"/>
        </w:rPr>
      </w:pPr>
      <w:r w:rsidRPr="006C31DC">
        <w:rPr>
          <w:color w:val="000000"/>
        </w:rPr>
        <w:t>RC = max{CMV – NICA, 0}</w:t>
      </w:r>
    </w:p>
    <w:p w14:paraId="7BE98CC7" w14:textId="3EC38BF2" w:rsidR="00354DDA" w:rsidRPr="006C31DC" w:rsidRDefault="008551AC" w:rsidP="00CA27C5">
      <w:pPr>
        <w:pStyle w:val="CM4"/>
        <w:spacing w:before="60" w:after="60"/>
        <w:ind w:firstLine="567"/>
        <w:jc w:val="both"/>
        <w:rPr>
          <w:color w:val="000000"/>
        </w:rPr>
      </w:pPr>
      <w:r>
        <w:rPr>
          <w:b/>
          <w:bCs/>
          <w:color w:val="000000"/>
        </w:rPr>
        <w:t>3</w:t>
      </w:r>
      <w:r w:rsidR="00EA3FDE">
        <w:rPr>
          <w:b/>
          <w:bCs/>
          <w:color w:val="000000"/>
        </w:rPr>
        <w:t>9</w:t>
      </w:r>
      <w:r w:rsidR="007841A0" w:rsidRPr="00CA27C5">
        <w:rPr>
          <w:b/>
          <w:bCs/>
          <w:color w:val="000000"/>
        </w:rPr>
        <w:t>.</w:t>
      </w:r>
      <w:r w:rsidR="00354DDA" w:rsidRPr="006C31DC">
        <w:rPr>
          <w:color w:val="000000"/>
        </w:rPr>
        <w:t xml:space="preserve"> </w:t>
      </w:r>
      <w:r w:rsidR="007841A0">
        <w:rPr>
          <w:color w:val="000000"/>
        </w:rPr>
        <w:t>Băncile</w:t>
      </w:r>
      <w:r w:rsidR="00354DDA" w:rsidRPr="006C31DC">
        <w:rPr>
          <w:color w:val="000000"/>
        </w:rPr>
        <w:t xml:space="preserve"> calculează costul de înlocuire pentru seturile de compensare individuale care fac obiectul unui contract în marjă în conformitate cu următoarea formulă: </w:t>
      </w:r>
    </w:p>
    <w:p w14:paraId="49CAA1FB" w14:textId="77777777" w:rsidR="00354DDA" w:rsidRPr="006C31DC" w:rsidRDefault="00354DDA" w:rsidP="00F35354">
      <w:pPr>
        <w:pStyle w:val="CM4"/>
        <w:spacing w:before="60" w:after="60"/>
        <w:ind w:firstLine="567"/>
        <w:jc w:val="center"/>
        <w:rPr>
          <w:color w:val="000000"/>
        </w:rPr>
      </w:pPr>
      <w:r w:rsidRPr="006C31DC">
        <w:rPr>
          <w:color w:val="000000"/>
        </w:rPr>
        <w:t>RC = max{CMV – VM - NICA, TH + MTA – NICA, 0}</w:t>
      </w:r>
    </w:p>
    <w:p w14:paraId="7DB50567" w14:textId="77777777" w:rsidR="00354DDA" w:rsidRPr="006C31DC" w:rsidRDefault="00354DDA" w:rsidP="00CA27C5">
      <w:pPr>
        <w:pStyle w:val="CM4"/>
        <w:spacing w:before="60" w:after="60"/>
        <w:ind w:firstLine="567"/>
        <w:jc w:val="both"/>
        <w:rPr>
          <w:color w:val="000000"/>
        </w:rPr>
      </w:pPr>
      <w:r w:rsidRPr="006C31DC">
        <w:rPr>
          <w:color w:val="000000"/>
        </w:rPr>
        <w:t xml:space="preserve">unde: </w:t>
      </w:r>
    </w:p>
    <w:p w14:paraId="249D3DDA" w14:textId="77777777" w:rsidR="00354DDA" w:rsidRPr="006C31DC" w:rsidRDefault="00354DDA" w:rsidP="00CA27C5">
      <w:pPr>
        <w:pStyle w:val="CM4"/>
        <w:spacing w:before="60" w:after="60"/>
        <w:ind w:firstLine="567"/>
        <w:jc w:val="both"/>
        <w:rPr>
          <w:color w:val="000000"/>
        </w:rPr>
      </w:pPr>
      <w:r w:rsidRPr="006C31DC">
        <w:rPr>
          <w:color w:val="000000"/>
        </w:rPr>
        <w:t xml:space="preserve">RC = costul de înlocuire; </w:t>
      </w:r>
    </w:p>
    <w:p w14:paraId="3F5A8A5E" w14:textId="77777777" w:rsidR="00354DDA" w:rsidRPr="006C31DC" w:rsidRDefault="00354DDA" w:rsidP="00CA27C5">
      <w:pPr>
        <w:pStyle w:val="CM4"/>
        <w:spacing w:before="60" w:after="60"/>
        <w:ind w:firstLine="567"/>
        <w:jc w:val="both"/>
        <w:rPr>
          <w:color w:val="000000"/>
        </w:rPr>
      </w:pPr>
      <w:r w:rsidRPr="006C31DC">
        <w:rPr>
          <w:color w:val="000000"/>
        </w:rPr>
        <w:t xml:space="preserve">VM = valoarea ajustată în funcţie de volatilitate a marjei de variaţie nete primite sau furnizate, după caz, pentru setul de compensare în mod regulat pentru a atenua variaţiile valorii de piaţă curente a setului de compensare; </w:t>
      </w:r>
    </w:p>
    <w:p w14:paraId="0F7B1E81" w14:textId="05DB15ED" w:rsidR="00354DDA" w:rsidRPr="006C31DC" w:rsidRDefault="00354DDA" w:rsidP="00CA27C5">
      <w:pPr>
        <w:pStyle w:val="CM4"/>
        <w:spacing w:before="60" w:after="60"/>
        <w:ind w:firstLine="567"/>
        <w:jc w:val="both"/>
        <w:rPr>
          <w:color w:val="000000"/>
        </w:rPr>
      </w:pPr>
      <w:r w:rsidRPr="006C31DC">
        <w:rPr>
          <w:color w:val="000000"/>
        </w:rPr>
        <w:t xml:space="preserve">TH = pragul de marjă aplicabil setului de compensare conform contractului în marjă sub care </w:t>
      </w:r>
      <w:r w:rsidR="00082CBD">
        <w:rPr>
          <w:color w:val="000000"/>
        </w:rPr>
        <w:t>banca</w:t>
      </w:r>
      <w:r w:rsidR="00082CBD" w:rsidRPr="006C31DC">
        <w:rPr>
          <w:color w:val="000000"/>
        </w:rPr>
        <w:t xml:space="preserve"> </w:t>
      </w:r>
      <w:r w:rsidRPr="006C31DC">
        <w:rPr>
          <w:color w:val="000000"/>
        </w:rPr>
        <w:t xml:space="preserve">nu poate solicita garanţii reale; și </w:t>
      </w:r>
    </w:p>
    <w:p w14:paraId="014DF2FD" w14:textId="77777777" w:rsidR="00354DDA" w:rsidRPr="006C31DC" w:rsidRDefault="00354DDA" w:rsidP="00CA27C5">
      <w:pPr>
        <w:pStyle w:val="CM4"/>
        <w:spacing w:before="60" w:after="60"/>
        <w:ind w:firstLine="567"/>
        <w:jc w:val="both"/>
        <w:rPr>
          <w:color w:val="000000"/>
        </w:rPr>
      </w:pPr>
      <w:r w:rsidRPr="006C31DC">
        <w:rPr>
          <w:color w:val="000000"/>
        </w:rPr>
        <w:t xml:space="preserve">MTA = suma minimă de transfer aplicabilă setului de compensare conform contractului în marjă. </w:t>
      </w:r>
    </w:p>
    <w:p w14:paraId="266F8943" w14:textId="0DD8BB78" w:rsidR="00354DDA" w:rsidRPr="006C31DC" w:rsidRDefault="00EA3FDE" w:rsidP="00CA27C5">
      <w:pPr>
        <w:pStyle w:val="CM4"/>
        <w:spacing w:before="60" w:after="60"/>
        <w:ind w:firstLine="567"/>
        <w:jc w:val="both"/>
        <w:rPr>
          <w:rFonts w:ascii="FCLLGD+TeX_CM_Maths_Extension" w:hAnsi="FCLLGD+TeX_CM_Maths_Extension" w:cs="FCLLGD+TeX_CM_Maths_Extension"/>
          <w:color w:val="000000"/>
        </w:rPr>
      </w:pPr>
      <w:r>
        <w:rPr>
          <w:b/>
          <w:bCs/>
          <w:color w:val="000000"/>
        </w:rPr>
        <w:t>40</w:t>
      </w:r>
      <w:r w:rsidR="007841A0" w:rsidRPr="00CA27C5">
        <w:rPr>
          <w:b/>
          <w:bCs/>
          <w:color w:val="000000"/>
        </w:rPr>
        <w:t>.</w:t>
      </w:r>
      <w:r w:rsidR="00354DDA" w:rsidRPr="006C31DC">
        <w:rPr>
          <w:color w:val="000000"/>
        </w:rPr>
        <w:t xml:space="preserve"> </w:t>
      </w:r>
      <w:r w:rsidR="007841A0">
        <w:rPr>
          <w:color w:val="000000"/>
        </w:rPr>
        <w:t xml:space="preserve">Banca </w:t>
      </w:r>
      <w:r w:rsidR="00354DDA" w:rsidRPr="006C31DC">
        <w:rPr>
          <w:color w:val="000000"/>
        </w:rPr>
        <w:t xml:space="preserve">calculează costul de înlocuire pentru seturile de compensare multiple care fac obiectul aceluiași contract în marjă în conformitate cu următoarea formulă: </w:t>
      </w:r>
    </w:p>
    <w:p w14:paraId="1FF18F68" w14:textId="77777777" w:rsidR="00354DDA" w:rsidRPr="006C31DC" w:rsidRDefault="00354DDA" w:rsidP="00CA27C5">
      <w:pPr>
        <w:pStyle w:val="Default"/>
        <w:jc w:val="center"/>
      </w:pPr>
      <w:r w:rsidRPr="006C31DC">
        <w:rPr>
          <w:noProof/>
          <w:lang w:val="en-US"/>
        </w:rPr>
        <w:drawing>
          <wp:inline distT="0" distB="0" distL="0" distR="0" wp14:anchorId="2DE40647" wp14:editId="1FD19B4D">
            <wp:extent cx="5866765" cy="474453"/>
            <wp:effectExtent l="0" t="0" r="635" b="1905"/>
            <wp:docPr id="185388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855" cy="480121"/>
                    </a:xfrm>
                    <a:prstGeom prst="rect">
                      <a:avLst/>
                    </a:prstGeom>
                    <a:noFill/>
                  </pic:spPr>
                </pic:pic>
              </a:graphicData>
            </a:graphic>
          </wp:inline>
        </w:drawing>
      </w:r>
    </w:p>
    <w:p w14:paraId="11175360" w14:textId="77777777" w:rsidR="00354DDA" w:rsidRPr="006C31DC" w:rsidRDefault="00354DDA" w:rsidP="00CA27C5">
      <w:pPr>
        <w:pStyle w:val="CM4"/>
        <w:spacing w:before="60" w:after="60"/>
        <w:ind w:firstLine="567"/>
        <w:jc w:val="both"/>
        <w:rPr>
          <w:color w:val="000000"/>
        </w:rPr>
      </w:pPr>
      <w:r w:rsidRPr="006C31DC">
        <w:rPr>
          <w:color w:val="000000"/>
        </w:rPr>
        <w:t xml:space="preserve">unde: </w:t>
      </w:r>
    </w:p>
    <w:p w14:paraId="46E649C0" w14:textId="77777777" w:rsidR="00354DDA" w:rsidRPr="006C31DC" w:rsidRDefault="00354DDA" w:rsidP="00CA27C5">
      <w:pPr>
        <w:pStyle w:val="CM4"/>
        <w:spacing w:before="60" w:after="60"/>
        <w:ind w:firstLine="567"/>
        <w:jc w:val="both"/>
        <w:rPr>
          <w:color w:val="000000"/>
        </w:rPr>
      </w:pPr>
      <w:r w:rsidRPr="006C31DC">
        <w:rPr>
          <w:color w:val="000000"/>
        </w:rPr>
        <w:t xml:space="preserve">RC = costul de înlocuire; </w:t>
      </w:r>
    </w:p>
    <w:p w14:paraId="0BA831F8" w14:textId="77777777" w:rsidR="00354DDA" w:rsidRPr="006C31DC" w:rsidRDefault="00354DDA" w:rsidP="00CA27C5">
      <w:pPr>
        <w:pStyle w:val="CM4"/>
        <w:spacing w:before="60" w:after="60"/>
        <w:ind w:firstLine="567"/>
        <w:jc w:val="both"/>
        <w:rPr>
          <w:color w:val="000000"/>
        </w:rPr>
      </w:pPr>
      <w:r w:rsidRPr="006C31DC">
        <w:rPr>
          <w:color w:val="000000"/>
        </w:rPr>
        <w:t xml:space="preserve">i = indicele care desemnează seturile de compensare care fac obiectul contractului în marjă individual; </w:t>
      </w:r>
    </w:p>
    <w:p w14:paraId="4E919F68" w14:textId="77777777" w:rsidR="00354DDA" w:rsidRPr="006C31DC" w:rsidRDefault="00354DDA" w:rsidP="00CA27C5">
      <w:pPr>
        <w:pStyle w:val="CM4"/>
        <w:spacing w:before="60" w:after="60"/>
        <w:ind w:firstLine="567"/>
        <w:jc w:val="both"/>
        <w:rPr>
          <w:color w:val="000000"/>
        </w:rPr>
      </w:pPr>
      <w:r w:rsidRPr="006C31DC">
        <w:rPr>
          <w:color w:val="000000"/>
        </w:rPr>
        <w:t xml:space="preserve">CMVi = valoarea de piaţă curentă a setului de compensare i; </w:t>
      </w:r>
    </w:p>
    <w:p w14:paraId="439D27FB" w14:textId="77777777" w:rsidR="00354DDA" w:rsidRPr="006C31DC" w:rsidRDefault="00354DDA" w:rsidP="00CA27C5">
      <w:pPr>
        <w:pStyle w:val="CM4"/>
        <w:spacing w:before="60" w:after="60"/>
        <w:ind w:firstLine="567"/>
        <w:jc w:val="both"/>
        <w:rPr>
          <w:color w:val="000000"/>
        </w:rPr>
      </w:pPr>
      <w:r w:rsidRPr="006C31DC">
        <w:rPr>
          <w:color w:val="000000"/>
        </w:rPr>
        <w:t>VM</w:t>
      </w:r>
      <w:r w:rsidRPr="007B59A6">
        <w:rPr>
          <w:color w:val="000000"/>
          <w:vertAlign w:val="subscript"/>
        </w:rPr>
        <w:t>MA</w:t>
      </w:r>
      <w:r w:rsidRPr="006C31DC">
        <w:rPr>
          <w:color w:val="000000"/>
        </w:rPr>
        <w:t xml:space="preserve"> = suma valorilor ajustate în funcţie de volatilitate ale garanţiilor reale primite sau furnizate, după caz, pentru seturi de compensare multiple în mod regulat cu scopul de a atenua variaţiile valorii de piaţă curente a acestora; și </w:t>
      </w:r>
    </w:p>
    <w:p w14:paraId="7F13A1CB" w14:textId="03F1AC29" w:rsidR="00354DDA" w:rsidRPr="006C31DC" w:rsidRDefault="00354DDA" w:rsidP="00CA27C5">
      <w:pPr>
        <w:pStyle w:val="CM4"/>
        <w:spacing w:before="60" w:after="60"/>
        <w:ind w:firstLine="567"/>
        <w:jc w:val="both"/>
        <w:rPr>
          <w:color w:val="000000"/>
        </w:rPr>
      </w:pPr>
      <w:r w:rsidRPr="006C31DC">
        <w:rPr>
          <w:color w:val="000000"/>
        </w:rPr>
        <w:t>NICA</w:t>
      </w:r>
      <w:r w:rsidRPr="007B59A6">
        <w:rPr>
          <w:color w:val="000000"/>
          <w:vertAlign w:val="subscript"/>
        </w:rPr>
        <w:t xml:space="preserve">MA </w:t>
      </w:r>
      <w:r w:rsidRPr="006C31DC">
        <w:rPr>
          <w:color w:val="000000"/>
        </w:rPr>
        <w:t>= suma valorilor ajustate în funcţie de volatilitate ale garanţiilor reale primite sau furnizate, după caz, pentru seturi de compensare multiple, altele decât VM</w:t>
      </w:r>
      <w:r w:rsidRPr="00CA27C5">
        <w:rPr>
          <w:color w:val="000000"/>
          <w:vertAlign w:val="subscript"/>
        </w:rPr>
        <w:t>MA</w:t>
      </w:r>
      <w:r w:rsidRPr="006C31DC">
        <w:rPr>
          <w:color w:val="000000"/>
        </w:rPr>
        <w:t xml:space="preserve"> . </w:t>
      </w:r>
    </w:p>
    <w:p w14:paraId="2F32F23E" w14:textId="5B23D28F" w:rsidR="00354DDA" w:rsidRPr="006C31DC" w:rsidRDefault="00354DDA" w:rsidP="00CA27C5">
      <w:pPr>
        <w:pStyle w:val="CM4"/>
        <w:spacing w:before="60" w:after="60"/>
        <w:ind w:firstLine="567"/>
        <w:jc w:val="both"/>
        <w:rPr>
          <w:color w:val="000000"/>
        </w:rPr>
      </w:pPr>
      <w:r w:rsidRPr="006C31DC">
        <w:rPr>
          <w:color w:val="000000"/>
        </w:rPr>
        <w:t xml:space="preserve">În sensul </w:t>
      </w:r>
      <w:r w:rsidR="00AA334C">
        <w:rPr>
          <w:color w:val="000000"/>
        </w:rPr>
        <w:t>prezentului punct</w:t>
      </w:r>
      <w:r w:rsidRPr="006C31DC">
        <w:rPr>
          <w:color w:val="000000"/>
        </w:rPr>
        <w:t>, NICA</w:t>
      </w:r>
      <w:r w:rsidRPr="00CA27C5">
        <w:rPr>
          <w:color w:val="000000"/>
          <w:vertAlign w:val="subscript"/>
        </w:rPr>
        <w:t xml:space="preserve">MA </w:t>
      </w:r>
      <w:r w:rsidRPr="006C31DC">
        <w:rPr>
          <w:color w:val="000000"/>
        </w:rPr>
        <w:t xml:space="preserve">poate fi calculată la nivel de tranzacţie, la nivel de set de compensare sau la nivelul tuturor seturilor de compensare cărora li se aplică contractul în marjă, în funcţie de nivelul la care se aplică acesta. </w:t>
      </w:r>
    </w:p>
    <w:p w14:paraId="5083F3FD" w14:textId="38D9E5F4" w:rsidR="00354DDA" w:rsidRPr="006C31DC" w:rsidRDefault="007841A0" w:rsidP="00354DDA">
      <w:pPr>
        <w:pStyle w:val="CM4"/>
        <w:spacing w:before="60" w:after="60"/>
        <w:jc w:val="center"/>
        <w:rPr>
          <w:color w:val="000000"/>
        </w:rPr>
      </w:pPr>
      <w:r>
        <w:rPr>
          <w:i/>
          <w:iCs/>
          <w:color w:val="000000"/>
        </w:rPr>
        <w:t xml:space="preserve">Secțiunea </w:t>
      </w:r>
      <w:r w:rsidR="0099409E">
        <w:rPr>
          <w:i/>
          <w:iCs/>
          <w:color w:val="000000"/>
        </w:rPr>
        <w:t xml:space="preserve">a </w:t>
      </w:r>
      <w:r>
        <w:rPr>
          <w:i/>
          <w:iCs/>
          <w:color w:val="000000"/>
        </w:rPr>
        <w:t>3</w:t>
      </w:r>
      <w:r w:rsidR="0099409E">
        <w:rPr>
          <w:i/>
          <w:iCs/>
          <w:color w:val="000000"/>
        </w:rPr>
        <w:t>-a</w:t>
      </w:r>
    </w:p>
    <w:p w14:paraId="713404FA" w14:textId="77777777" w:rsidR="00354DDA" w:rsidRPr="006C31DC" w:rsidRDefault="00354DDA" w:rsidP="00354DDA">
      <w:pPr>
        <w:pStyle w:val="CM4"/>
        <w:spacing w:before="60" w:after="60"/>
        <w:jc w:val="center"/>
        <w:rPr>
          <w:color w:val="000000"/>
        </w:rPr>
      </w:pPr>
      <w:r w:rsidRPr="006C31DC">
        <w:rPr>
          <w:b/>
          <w:bCs/>
          <w:color w:val="000000"/>
        </w:rPr>
        <w:t>Recunoașterea și tratamentul aplicat garanţiilor reale</w:t>
      </w:r>
    </w:p>
    <w:p w14:paraId="73AFE361" w14:textId="6124ACAE" w:rsidR="00354DDA" w:rsidRPr="006C31DC" w:rsidRDefault="008551AC" w:rsidP="00CA27C5">
      <w:pPr>
        <w:pStyle w:val="CM4"/>
        <w:spacing w:before="60" w:after="60"/>
        <w:ind w:firstLine="567"/>
        <w:jc w:val="both"/>
        <w:rPr>
          <w:color w:val="000000"/>
        </w:rPr>
      </w:pPr>
      <w:r>
        <w:rPr>
          <w:b/>
          <w:bCs/>
          <w:color w:val="000000"/>
        </w:rPr>
        <w:lastRenderedPageBreak/>
        <w:t>4</w:t>
      </w:r>
      <w:r w:rsidR="00EA3FDE">
        <w:rPr>
          <w:b/>
          <w:bCs/>
          <w:color w:val="000000"/>
        </w:rPr>
        <w:t>1</w:t>
      </w:r>
      <w:r w:rsidR="007841A0" w:rsidRPr="00CA27C5">
        <w:rPr>
          <w:b/>
          <w:bCs/>
          <w:color w:val="000000"/>
        </w:rPr>
        <w:t>.</w:t>
      </w:r>
      <w:r w:rsidR="00354DDA" w:rsidRPr="006C31DC">
        <w:rPr>
          <w:color w:val="000000"/>
        </w:rPr>
        <w:t xml:space="preserve"> În sensul prezentei secţiuni, </w:t>
      </w:r>
      <w:r w:rsidR="007841A0">
        <w:rPr>
          <w:color w:val="000000"/>
        </w:rPr>
        <w:t>băncile</w:t>
      </w:r>
      <w:r w:rsidR="00354DDA" w:rsidRPr="006C31DC">
        <w:rPr>
          <w:color w:val="000000"/>
        </w:rPr>
        <w:t xml:space="preserve"> calculează valoarea garanţiilor reale aferente VM, VM</w:t>
      </w:r>
      <w:r w:rsidR="00354DDA" w:rsidRPr="007B59A6">
        <w:rPr>
          <w:color w:val="000000"/>
          <w:vertAlign w:val="subscript"/>
        </w:rPr>
        <w:t>MA</w:t>
      </w:r>
      <w:r w:rsidR="00354DDA" w:rsidRPr="006C31DC">
        <w:rPr>
          <w:color w:val="000000"/>
        </w:rPr>
        <w:t>, NICA și NICA</w:t>
      </w:r>
      <w:r w:rsidR="00354DDA" w:rsidRPr="007B59A6">
        <w:rPr>
          <w:color w:val="000000"/>
          <w:vertAlign w:val="subscript"/>
        </w:rPr>
        <w:t>MA</w:t>
      </w:r>
      <w:r w:rsidR="00354DDA" w:rsidRPr="006C31DC">
        <w:rPr>
          <w:color w:val="000000"/>
        </w:rPr>
        <w:t xml:space="preserve">, prin aplicarea tuturor cerinţelor următoare: </w:t>
      </w:r>
    </w:p>
    <w:p w14:paraId="3DB2E41E" w14:textId="40383354" w:rsidR="00354DDA" w:rsidRPr="006C31DC" w:rsidRDefault="006903FB" w:rsidP="00CA27C5">
      <w:pPr>
        <w:pStyle w:val="CM4"/>
        <w:spacing w:before="60" w:after="60"/>
        <w:ind w:firstLine="567"/>
        <w:jc w:val="both"/>
        <w:rPr>
          <w:color w:val="000000"/>
        </w:rPr>
      </w:pPr>
      <w:r>
        <w:rPr>
          <w:color w:val="000000"/>
        </w:rPr>
        <w:t>1</w:t>
      </w:r>
      <w:r w:rsidR="00354DDA" w:rsidRPr="006C31DC">
        <w:rPr>
          <w:color w:val="000000"/>
        </w:rPr>
        <w:t xml:space="preserve">) în cazul în care toate tranzacţiile incluse într-un set de compensare fac parte din portofoliul de tranzacţionare, sunt recunoscute numai garanţiile reale eligibile în temeiul </w:t>
      </w:r>
      <w:r w:rsidR="00DC0D79" w:rsidRPr="00DC0D79">
        <w:rPr>
          <w:color w:val="000000"/>
        </w:rPr>
        <w:t>p</w:t>
      </w:r>
      <w:r w:rsidR="004C5695">
        <w:rPr>
          <w:color w:val="000000"/>
        </w:rPr>
        <w:t>unctul</w:t>
      </w:r>
      <w:r w:rsidR="0085778A">
        <w:rPr>
          <w:color w:val="000000"/>
        </w:rPr>
        <w:t>ui</w:t>
      </w:r>
      <w:r w:rsidR="004C5695">
        <w:rPr>
          <w:color w:val="000000"/>
        </w:rPr>
        <w:t xml:space="preserve"> </w:t>
      </w:r>
      <w:r w:rsidR="00DC0D79" w:rsidRPr="00DC0D79">
        <w:rPr>
          <w:color w:val="000000"/>
        </w:rPr>
        <w:t xml:space="preserve">25 din Regulamentul nr.112/2018 cu privire la tehnicile de diminuare a riscului de credit utilizate de bănci </w:t>
      </w:r>
      <w:r w:rsidR="00354DDA" w:rsidRPr="00A16A4D">
        <w:rPr>
          <w:color w:val="000000"/>
        </w:rPr>
        <w:t xml:space="preserve">și </w:t>
      </w:r>
      <w:r w:rsidR="00DC0D79" w:rsidRPr="00A16A4D">
        <w:rPr>
          <w:color w:val="000000"/>
        </w:rPr>
        <w:t xml:space="preserve">punctelor </w:t>
      </w:r>
      <w:r w:rsidR="00A16A4D" w:rsidRPr="00CA27C5">
        <w:rPr>
          <w:color w:val="000000"/>
        </w:rPr>
        <w:t>98-104</w:t>
      </w:r>
      <w:r w:rsidR="00DC0D79" w:rsidRPr="00A16A4D">
        <w:rPr>
          <w:color w:val="000000"/>
        </w:rPr>
        <w:t xml:space="preserve"> din prezentul regulament</w:t>
      </w:r>
      <w:r w:rsidR="00354DDA" w:rsidRPr="00A16A4D">
        <w:rPr>
          <w:color w:val="000000"/>
        </w:rPr>
        <w:t>;</w:t>
      </w:r>
      <w:r w:rsidR="00354DDA" w:rsidRPr="006C31DC">
        <w:rPr>
          <w:color w:val="000000"/>
        </w:rPr>
        <w:t xml:space="preserve"> </w:t>
      </w:r>
    </w:p>
    <w:p w14:paraId="12E631B0" w14:textId="6811A93D" w:rsidR="00354DDA" w:rsidRPr="006C31DC" w:rsidRDefault="006903FB" w:rsidP="00CA27C5">
      <w:pPr>
        <w:pStyle w:val="CM4"/>
        <w:spacing w:before="60" w:after="60"/>
        <w:ind w:firstLine="567"/>
        <w:jc w:val="both"/>
        <w:rPr>
          <w:color w:val="000000"/>
        </w:rPr>
      </w:pPr>
      <w:r>
        <w:rPr>
          <w:color w:val="000000"/>
        </w:rPr>
        <w:t>2</w:t>
      </w:r>
      <w:r w:rsidR="00354DDA" w:rsidRPr="006C31DC">
        <w:rPr>
          <w:color w:val="000000"/>
        </w:rPr>
        <w:t xml:space="preserve">) în cazul în care un set de compensare cuprinde cel puţin o tranzacţie din afara portofoliului de tranzacţionare, sunt recunoscute numai garanţiile reale eligibile în temeiul </w:t>
      </w:r>
      <w:r w:rsidR="00DC0D79" w:rsidRPr="00A16A4D">
        <w:rPr>
          <w:color w:val="000000"/>
        </w:rPr>
        <w:t>p</w:t>
      </w:r>
      <w:r w:rsidR="004C5695" w:rsidRPr="00CA27C5">
        <w:rPr>
          <w:color w:val="000000"/>
        </w:rPr>
        <w:t>unctul</w:t>
      </w:r>
      <w:r w:rsidR="005112F9">
        <w:rPr>
          <w:color w:val="000000"/>
        </w:rPr>
        <w:t>ui</w:t>
      </w:r>
      <w:r w:rsidR="004C5695" w:rsidRPr="00CA27C5">
        <w:rPr>
          <w:color w:val="000000"/>
        </w:rPr>
        <w:t xml:space="preserve"> </w:t>
      </w:r>
      <w:r w:rsidR="00DC0D79" w:rsidRPr="00A16A4D">
        <w:rPr>
          <w:color w:val="000000"/>
        </w:rPr>
        <w:t>25 din Regulamentul nr.112/2018 cu privire la tehnicile de diminuare a riscului de credit utilizate de bănci</w:t>
      </w:r>
      <w:r w:rsidR="00354DDA" w:rsidRPr="00A16A4D">
        <w:rPr>
          <w:color w:val="000000"/>
        </w:rPr>
        <w:t>;</w:t>
      </w:r>
      <w:r w:rsidR="00354DDA" w:rsidRPr="006C31DC">
        <w:rPr>
          <w:color w:val="000000"/>
        </w:rPr>
        <w:t xml:space="preserve"> </w:t>
      </w:r>
    </w:p>
    <w:p w14:paraId="240CD7CC" w14:textId="733E8A09" w:rsidR="00354DDA" w:rsidRPr="006C31DC" w:rsidRDefault="006903FB" w:rsidP="00CA27C5">
      <w:pPr>
        <w:pStyle w:val="CM4"/>
        <w:spacing w:before="60" w:after="60"/>
        <w:ind w:firstLine="567"/>
        <w:jc w:val="both"/>
        <w:rPr>
          <w:color w:val="000000"/>
        </w:rPr>
      </w:pPr>
      <w:r>
        <w:rPr>
          <w:color w:val="000000"/>
        </w:rPr>
        <w:t>3</w:t>
      </w:r>
      <w:r w:rsidR="00354DDA" w:rsidRPr="006C31DC">
        <w:rPr>
          <w:color w:val="000000"/>
        </w:rPr>
        <w:t xml:space="preserve">) garanţiile reale primite de la o contraparte sunt recunoscute cu semn pozitiv, iar garanţiile reale furnizate unei contrapărţi sunt recunoscute cu semn negativ; </w:t>
      </w:r>
    </w:p>
    <w:p w14:paraId="1BBF830E" w14:textId="07818B42" w:rsidR="00354DDA" w:rsidRPr="006C31DC" w:rsidRDefault="006903FB" w:rsidP="00CA27C5">
      <w:pPr>
        <w:pStyle w:val="CM4"/>
        <w:spacing w:before="60" w:after="60"/>
        <w:ind w:firstLine="567"/>
        <w:jc w:val="both"/>
        <w:rPr>
          <w:color w:val="000000"/>
        </w:rPr>
      </w:pPr>
      <w:r>
        <w:rPr>
          <w:color w:val="000000"/>
        </w:rPr>
        <w:t>4</w:t>
      </w:r>
      <w:r w:rsidR="00354DDA" w:rsidRPr="006C31DC">
        <w:rPr>
          <w:color w:val="000000"/>
        </w:rPr>
        <w:t xml:space="preserve">) valoarea ajustată pentru volatilitate a oricărui tip de garanţii reale primite sau furnizate se calculează în conformitate cu </w:t>
      </w:r>
      <w:r w:rsidR="00A63A2E">
        <w:rPr>
          <w:color w:val="000000"/>
        </w:rPr>
        <w:t xml:space="preserve">punctele 84-94 </w:t>
      </w:r>
      <w:r w:rsidR="00A63A2E" w:rsidRPr="00A63A2E">
        <w:rPr>
          <w:color w:val="000000"/>
        </w:rPr>
        <w:t>din Regulamentul nr.112/2018 cu privire la tehnicile de diminuare a riscului de credit utilizate de bănc</w:t>
      </w:r>
      <w:r w:rsidR="00A63A2E">
        <w:rPr>
          <w:color w:val="000000"/>
        </w:rPr>
        <w:t>i,</w:t>
      </w:r>
      <w:r w:rsidR="00354DDA" w:rsidRPr="006C31DC">
        <w:rPr>
          <w:color w:val="000000"/>
        </w:rPr>
        <w:t xml:space="preserve"> în scopul efectuării acestui calcul; </w:t>
      </w:r>
      <w:r w:rsidR="00DC0D79">
        <w:rPr>
          <w:color w:val="000000"/>
        </w:rPr>
        <w:t xml:space="preserve"> </w:t>
      </w:r>
    </w:p>
    <w:p w14:paraId="1D1370AD" w14:textId="357CDB69" w:rsidR="00354DDA" w:rsidRPr="006C31DC" w:rsidRDefault="006903FB" w:rsidP="00CA27C5">
      <w:pPr>
        <w:pStyle w:val="CM4"/>
        <w:spacing w:before="60" w:after="60"/>
        <w:ind w:firstLine="567"/>
        <w:jc w:val="both"/>
        <w:rPr>
          <w:color w:val="000000"/>
        </w:rPr>
      </w:pPr>
      <w:r>
        <w:rPr>
          <w:color w:val="000000"/>
        </w:rPr>
        <w:t>5</w:t>
      </w:r>
      <w:r w:rsidR="00354DDA" w:rsidRPr="006C31DC">
        <w:rPr>
          <w:color w:val="000000"/>
        </w:rPr>
        <w:t xml:space="preserve">) aceeași garanţie reală nu este inclusă în același timp și în VM, și în NICA; </w:t>
      </w:r>
    </w:p>
    <w:p w14:paraId="0DD6665B" w14:textId="106F1EFC" w:rsidR="00354DDA" w:rsidRPr="006C31DC" w:rsidRDefault="006903FB" w:rsidP="00CA27C5">
      <w:pPr>
        <w:pStyle w:val="CM4"/>
        <w:spacing w:before="60" w:after="60"/>
        <w:ind w:firstLine="567"/>
        <w:jc w:val="both"/>
        <w:rPr>
          <w:color w:val="000000"/>
        </w:rPr>
      </w:pPr>
      <w:r>
        <w:rPr>
          <w:color w:val="000000"/>
        </w:rPr>
        <w:t>6</w:t>
      </w:r>
      <w:r w:rsidR="00354DDA" w:rsidRPr="006C31DC">
        <w:rPr>
          <w:color w:val="000000"/>
        </w:rPr>
        <w:t>) aceeași garanţie reală nu este inclusă în același timp și în VM</w:t>
      </w:r>
      <w:r w:rsidR="00354DDA" w:rsidRPr="00324406">
        <w:rPr>
          <w:color w:val="000000"/>
          <w:vertAlign w:val="subscript"/>
        </w:rPr>
        <w:t>MA</w:t>
      </w:r>
      <w:r w:rsidR="00354DDA" w:rsidRPr="006C31DC">
        <w:rPr>
          <w:color w:val="000000"/>
        </w:rPr>
        <w:t>, și în NICA</w:t>
      </w:r>
      <w:r w:rsidR="00354DDA" w:rsidRPr="00324406">
        <w:rPr>
          <w:color w:val="000000"/>
          <w:vertAlign w:val="subscript"/>
        </w:rPr>
        <w:t>MA</w:t>
      </w:r>
      <w:r w:rsidR="00354DDA" w:rsidRPr="006C31DC">
        <w:rPr>
          <w:color w:val="000000"/>
        </w:rPr>
        <w:t xml:space="preserve">; </w:t>
      </w:r>
    </w:p>
    <w:p w14:paraId="75216BCD" w14:textId="431F07B3" w:rsidR="00354DDA" w:rsidRPr="006C31DC" w:rsidRDefault="006903FB" w:rsidP="00CA27C5">
      <w:pPr>
        <w:pStyle w:val="CM4"/>
        <w:spacing w:before="60" w:after="60"/>
        <w:ind w:firstLine="567"/>
        <w:jc w:val="both"/>
        <w:rPr>
          <w:color w:val="000000"/>
        </w:rPr>
      </w:pPr>
      <w:r>
        <w:rPr>
          <w:color w:val="000000"/>
        </w:rPr>
        <w:t>7</w:t>
      </w:r>
      <w:r w:rsidR="00354DDA" w:rsidRPr="006C31DC">
        <w:rPr>
          <w:color w:val="000000"/>
        </w:rPr>
        <w:t>) nicio garanţie reală furnizată de contraparte care este separată de activele contrapărţii respective și, ca urmare a separării, este indisponibilă în caz de faliment sau în caz de intrare în stare de nerambursare ori de insolvenţă a contrapărţii respective nu este recunoscută în calcularea NICA și a NICA</w:t>
      </w:r>
      <w:r w:rsidR="00354DDA" w:rsidRPr="00324406">
        <w:rPr>
          <w:color w:val="000000"/>
          <w:vertAlign w:val="subscript"/>
        </w:rPr>
        <w:t>MA</w:t>
      </w:r>
      <w:r w:rsidR="00354DDA" w:rsidRPr="006C31DC">
        <w:rPr>
          <w:color w:val="000000"/>
        </w:rPr>
        <w:t xml:space="preserve">. </w:t>
      </w:r>
    </w:p>
    <w:p w14:paraId="1E3180E6" w14:textId="69015A22" w:rsidR="00354DDA" w:rsidRPr="006C31DC" w:rsidRDefault="008551AC" w:rsidP="00CA27C5">
      <w:pPr>
        <w:pStyle w:val="CM4"/>
        <w:spacing w:before="60" w:after="60"/>
        <w:ind w:firstLine="567"/>
        <w:jc w:val="both"/>
        <w:rPr>
          <w:color w:val="000000"/>
        </w:rPr>
      </w:pPr>
      <w:r>
        <w:rPr>
          <w:b/>
          <w:bCs/>
          <w:color w:val="000000"/>
        </w:rPr>
        <w:t>4</w:t>
      </w:r>
      <w:r w:rsidR="00EA3FDE">
        <w:rPr>
          <w:b/>
          <w:bCs/>
          <w:color w:val="000000"/>
        </w:rPr>
        <w:t>2</w:t>
      </w:r>
      <w:r w:rsidR="003C69C7" w:rsidRPr="00CA27C5">
        <w:rPr>
          <w:b/>
          <w:bCs/>
          <w:color w:val="000000"/>
        </w:rPr>
        <w:t>.</w:t>
      </w:r>
      <w:r w:rsidR="00354DDA" w:rsidRPr="006C31DC">
        <w:rPr>
          <w:color w:val="000000"/>
        </w:rPr>
        <w:t xml:space="preserve"> Pentru a calcula valoarea ajustată în funcţie de volatilitate a garanţiilor reale furnizate menţionate la </w:t>
      </w:r>
      <w:r w:rsidR="00AA334C" w:rsidRPr="00A16A4D">
        <w:rPr>
          <w:color w:val="000000"/>
        </w:rPr>
        <w:t xml:space="preserve">punctul </w:t>
      </w:r>
      <w:r w:rsidR="00A16A4D" w:rsidRPr="00CA27C5">
        <w:rPr>
          <w:color w:val="000000"/>
        </w:rPr>
        <w:t>41 subpunctul 4)</w:t>
      </w:r>
      <w:r w:rsidR="00354DDA" w:rsidRPr="00A16A4D">
        <w:rPr>
          <w:color w:val="000000"/>
        </w:rPr>
        <w:t>,</w:t>
      </w:r>
      <w:r w:rsidR="00354DDA" w:rsidRPr="006C31DC">
        <w:rPr>
          <w:color w:val="000000"/>
        </w:rPr>
        <w:t xml:space="preserve"> </w:t>
      </w:r>
      <w:r w:rsidR="00A16A4D">
        <w:rPr>
          <w:color w:val="000000"/>
        </w:rPr>
        <w:t>băncile</w:t>
      </w:r>
      <w:r w:rsidR="00354DDA" w:rsidRPr="006C31DC">
        <w:rPr>
          <w:color w:val="000000"/>
        </w:rPr>
        <w:t xml:space="preserve"> înlocuiesc formula prevăzută la </w:t>
      </w:r>
      <w:r w:rsidR="00AA334C">
        <w:rPr>
          <w:color w:val="000000"/>
        </w:rPr>
        <w:t xml:space="preserve">punctul 87 din </w:t>
      </w:r>
      <w:r w:rsidR="00AA334C" w:rsidRPr="00A63A2E">
        <w:rPr>
          <w:color w:val="000000"/>
        </w:rPr>
        <w:t>Regulamentul nr.112/2018 cu privire la tehnicile de diminuare a riscului de credit utilizate de bănc</w:t>
      </w:r>
      <w:r w:rsidR="00AA334C">
        <w:rPr>
          <w:color w:val="000000"/>
        </w:rPr>
        <w:t>i</w:t>
      </w:r>
      <w:r w:rsidR="00354DDA" w:rsidRPr="006C31DC">
        <w:rPr>
          <w:color w:val="000000"/>
        </w:rPr>
        <w:t xml:space="preserve"> cu formula următoare: </w:t>
      </w:r>
    </w:p>
    <w:p w14:paraId="6C2AC0E8" w14:textId="77777777" w:rsidR="00354DDA" w:rsidRPr="006C31DC" w:rsidRDefault="00354DDA" w:rsidP="00CA27C5">
      <w:pPr>
        <w:pStyle w:val="CM4"/>
        <w:spacing w:before="60" w:after="60"/>
        <w:ind w:firstLine="567"/>
        <w:jc w:val="center"/>
        <w:rPr>
          <w:color w:val="000000"/>
        </w:rPr>
      </w:pPr>
      <w:r w:rsidRPr="006C31DC">
        <w:rPr>
          <w:color w:val="000000"/>
        </w:rPr>
        <w:t>C</w:t>
      </w:r>
      <w:r w:rsidRPr="00324406">
        <w:rPr>
          <w:color w:val="000000"/>
          <w:vertAlign w:val="subscript"/>
        </w:rPr>
        <w:t>VA</w:t>
      </w:r>
      <w:r w:rsidRPr="006C31DC">
        <w:rPr>
          <w:color w:val="000000"/>
        </w:rPr>
        <w:t xml:space="preserve"> = C · (1 + H</w:t>
      </w:r>
      <w:r>
        <w:rPr>
          <w:color w:val="000000"/>
          <w:vertAlign w:val="subscript"/>
        </w:rPr>
        <w:t>c</w:t>
      </w:r>
      <w:r w:rsidRPr="006C31DC">
        <w:rPr>
          <w:color w:val="000000"/>
        </w:rPr>
        <w:t xml:space="preserve"> + H</w:t>
      </w:r>
      <w:r w:rsidRPr="00324406">
        <w:rPr>
          <w:color w:val="000000"/>
          <w:vertAlign w:val="subscript"/>
        </w:rPr>
        <w:t>fx</w:t>
      </w:r>
      <w:r w:rsidRPr="006C31DC">
        <w:rPr>
          <w:color w:val="000000"/>
        </w:rPr>
        <w:t xml:space="preserve"> )</w:t>
      </w:r>
    </w:p>
    <w:p w14:paraId="3F377DD1" w14:textId="77777777" w:rsidR="00354DDA" w:rsidRPr="006C31DC" w:rsidRDefault="00354DDA" w:rsidP="00CA27C5">
      <w:pPr>
        <w:pStyle w:val="CM4"/>
        <w:spacing w:before="60" w:after="60"/>
        <w:ind w:firstLine="567"/>
        <w:jc w:val="both"/>
        <w:rPr>
          <w:color w:val="000000"/>
        </w:rPr>
      </w:pPr>
      <w:r w:rsidRPr="006C31DC">
        <w:rPr>
          <w:color w:val="000000"/>
        </w:rPr>
        <w:t xml:space="preserve">unde: </w:t>
      </w:r>
    </w:p>
    <w:p w14:paraId="4EE28661" w14:textId="77777777" w:rsidR="00354DDA" w:rsidRPr="006C31DC" w:rsidRDefault="00354DDA" w:rsidP="00CA27C5">
      <w:pPr>
        <w:pStyle w:val="CM4"/>
        <w:spacing w:before="60" w:after="60"/>
        <w:ind w:firstLine="567"/>
        <w:jc w:val="both"/>
        <w:rPr>
          <w:color w:val="000000"/>
        </w:rPr>
      </w:pPr>
      <w:r w:rsidRPr="006C31DC">
        <w:rPr>
          <w:color w:val="000000"/>
        </w:rPr>
        <w:t>C</w:t>
      </w:r>
      <w:r w:rsidRPr="00324406">
        <w:rPr>
          <w:color w:val="000000"/>
          <w:vertAlign w:val="subscript"/>
        </w:rPr>
        <w:t>VA</w:t>
      </w:r>
      <w:r w:rsidRPr="006C31DC">
        <w:rPr>
          <w:color w:val="000000"/>
        </w:rPr>
        <w:t xml:space="preserve"> = valoarea ajustată în funcţie de volatilitate a garanţiilor reale furnizate; și </w:t>
      </w:r>
    </w:p>
    <w:p w14:paraId="634A0DB4" w14:textId="77777777" w:rsidR="00354DDA" w:rsidRPr="006C31DC" w:rsidRDefault="00354DDA" w:rsidP="00CA27C5">
      <w:pPr>
        <w:pStyle w:val="CM4"/>
        <w:spacing w:before="60" w:after="60"/>
        <w:ind w:firstLine="567"/>
        <w:jc w:val="both"/>
        <w:rPr>
          <w:color w:val="000000"/>
        </w:rPr>
      </w:pPr>
      <w:r w:rsidRPr="006C31DC">
        <w:rPr>
          <w:color w:val="000000"/>
        </w:rPr>
        <w:t xml:space="preserve">C = garanţiile reale; </w:t>
      </w:r>
    </w:p>
    <w:p w14:paraId="2AFCA3C2" w14:textId="1954A37C" w:rsidR="00354DDA" w:rsidRPr="006C31DC" w:rsidRDefault="00354DDA" w:rsidP="00CA27C5">
      <w:pPr>
        <w:pStyle w:val="CM4"/>
        <w:spacing w:before="60" w:after="60"/>
        <w:ind w:firstLine="567"/>
        <w:jc w:val="both"/>
        <w:rPr>
          <w:color w:val="000000"/>
        </w:rPr>
      </w:pPr>
      <w:r w:rsidRPr="006C31DC">
        <w:rPr>
          <w:color w:val="000000"/>
        </w:rPr>
        <w:t>H</w:t>
      </w:r>
      <w:r w:rsidRPr="00324406">
        <w:rPr>
          <w:color w:val="000000"/>
          <w:vertAlign w:val="subscript"/>
        </w:rPr>
        <w:t>c</w:t>
      </w:r>
      <w:r w:rsidRPr="006C31DC">
        <w:rPr>
          <w:color w:val="000000"/>
        </w:rPr>
        <w:t xml:space="preserve"> și H</w:t>
      </w:r>
      <w:r w:rsidRPr="00324406">
        <w:rPr>
          <w:color w:val="000000"/>
          <w:vertAlign w:val="subscript"/>
        </w:rPr>
        <w:t>fx</w:t>
      </w:r>
      <w:r w:rsidRPr="006C31DC">
        <w:rPr>
          <w:color w:val="000000"/>
        </w:rPr>
        <w:t xml:space="preserve"> sunt definite în conformitate cu </w:t>
      </w:r>
      <w:r w:rsidR="00AA334C" w:rsidRPr="00AA334C">
        <w:rPr>
          <w:color w:val="000000"/>
        </w:rPr>
        <w:t>punctul 87 din Regulamentul nr.112/2018 cu privire la tehnicile de diminuare a riscului de credit utilizate de bănci</w:t>
      </w:r>
      <w:r w:rsidR="00AA334C">
        <w:rPr>
          <w:color w:val="000000"/>
        </w:rPr>
        <w:t>.</w:t>
      </w:r>
    </w:p>
    <w:p w14:paraId="39231C7F" w14:textId="4115EC55" w:rsidR="00354DDA" w:rsidRPr="006C31DC" w:rsidRDefault="008551AC" w:rsidP="00CA27C5">
      <w:pPr>
        <w:pStyle w:val="CM4"/>
        <w:spacing w:before="60" w:after="60"/>
        <w:ind w:firstLine="567"/>
        <w:jc w:val="both"/>
        <w:rPr>
          <w:color w:val="000000"/>
        </w:rPr>
      </w:pPr>
      <w:r>
        <w:rPr>
          <w:b/>
          <w:bCs/>
          <w:color w:val="000000"/>
        </w:rPr>
        <w:t>4</w:t>
      </w:r>
      <w:r w:rsidR="00EA3FDE">
        <w:rPr>
          <w:b/>
          <w:bCs/>
          <w:color w:val="000000"/>
        </w:rPr>
        <w:t>3</w:t>
      </w:r>
      <w:r w:rsidR="00AA334C" w:rsidRPr="00CA27C5">
        <w:rPr>
          <w:b/>
          <w:bCs/>
          <w:color w:val="000000"/>
        </w:rPr>
        <w:t>.</w:t>
      </w:r>
      <w:r w:rsidR="00354DDA" w:rsidRPr="006C31DC">
        <w:rPr>
          <w:color w:val="000000"/>
        </w:rPr>
        <w:t xml:space="preserve"> În sensul </w:t>
      </w:r>
      <w:r w:rsidR="00A16A4D">
        <w:rPr>
          <w:color w:val="000000"/>
        </w:rPr>
        <w:t xml:space="preserve">punctului </w:t>
      </w:r>
      <w:r w:rsidR="00A16A4D" w:rsidRPr="007531FC">
        <w:rPr>
          <w:color w:val="000000"/>
        </w:rPr>
        <w:t>41 subpunctul 4)</w:t>
      </w:r>
      <w:r w:rsidR="00354DDA" w:rsidRPr="006C31DC">
        <w:rPr>
          <w:color w:val="000000"/>
        </w:rPr>
        <w:t xml:space="preserve">, </w:t>
      </w:r>
      <w:r w:rsidR="00AA334C">
        <w:rPr>
          <w:color w:val="000000"/>
        </w:rPr>
        <w:t xml:space="preserve">băncile </w:t>
      </w:r>
      <w:r w:rsidR="00354DDA" w:rsidRPr="006C31DC">
        <w:rPr>
          <w:color w:val="000000"/>
        </w:rPr>
        <w:t xml:space="preserve">stabilesc perioada de lichidare relevantă pentru calcularea valorii ajustate în funcţie de volatilitate a garanţiilor reale primite sau furnizate în conformitate cu unul dintre următoarele orizonturi de timp: </w:t>
      </w:r>
    </w:p>
    <w:p w14:paraId="130917DF" w14:textId="2B3ADC62" w:rsidR="00354DDA" w:rsidRPr="00616FB8" w:rsidRDefault="006903FB" w:rsidP="00CA27C5">
      <w:pPr>
        <w:pStyle w:val="CM4"/>
        <w:spacing w:before="60" w:after="60"/>
        <w:ind w:firstLine="567"/>
        <w:jc w:val="both"/>
        <w:rPr>
          <w:color w:val="000000"/>
        </w:rPr>
      </w:pPr>
      <w:r>
        <w:rPr>
          <w:color w:val="000000"/>
        </w:rPr>
        <w:t>1</w:t>
      </w:r>
      <w:r w:rsidR="00354DDA" w:rsidRPr="006C31DC">
        <w:rPr>
          <w:color w:val="000000"/>
        </w:rPr>
        <w:t xml:space="preserve">) un an pentru seturile de compensare </w:t>
      </w:r>
      <w:r w:rsidR="00354DDA" w:rsidRPr="00616FB8">
        <w:rPr>
          <w:color w:val="000000"/>
        </w:rPr>
        <w:t xml:space="preserve">menţionate la </w:t>
      </w:r>
      <w:r w:rsidR="004F45D7" w:rsidRPr="00616FB8">
        <w:rPr>
          <w:color w:val="000000"/>
        </w:rPr>
        <w:t xml:space="preserve">punctul </w:t>
      </w:r>
      <w:r w:rsidR="00616FB8" w:rsidRPr="00616FB8">
        <w:rPr>
          <w:color w:val="000000"/>
        </w:rPr>
        <w:t>38</w:t>
      </w:r>
      <w:r w:rsidR="00354DDA" w:rsidRPr="00616FB8">
        <w:rPr>
          <w:color w:val="000000"/>
        </w:rPr>
        <w:t xml:space="preserve">; </w:t>
      </w:r>
    </w:p>
    <w:p w14:paraId="5EE5706B" w14:textId="31402595" w:rsidR="00354DDA" w:rsidRPr="006C31DC" w:rsidRDefault="006903FB" w:rsidP="00CA27C5">
      <w:pPr>
        <w:pStyle w:val="CM4"/>
        <w:spacing w:before="60" w:after="60"/>
        <w:ind w:firstLine="567"/>
        <w:jc w:val="both"/>
        <w:rPr>
          <w:color w:val="000000"/>
        </w:rPr>
      </w:pPr>
      <w:r w:rsidRPr="00616FB8">
        <w:rPr>
          <w:color w:val="000000"/>
        </w:rPr>
        <w:t>2</w:t>
      </w:r>
      <w:r w:rsidR="00354DDA" w:rsidRPr="00616FB8">
        <w:rPr>
          <w:color w:val="000000"/>
        </w:rPr>
        <w:t xml:space="preserve">) perioada de risc de marjă determinată în conformitate cu </w:t>
      </w:r>
      <w:r w:rsidR="00616FB8" w:rsidRPr="00616FB8">
        <w:rPr>
          <w:color w:val="000000"/>
        </w:rPr>
        <w:t>punctul 60 subpunctul 2)</w:t>
      </w:r>
      <w:r w:rsidR="00354DDA" w:rsidRPr="00616FB8">
        <w:rPr>
          <w:color w:val="000000"/>
        </w:rPr>
        <w:t xml:space="preserve"> pentru seturile de compensare menţionate la </w:t>
      </w:r>
      <w:r w:rsidR="004F45D7" w:rsidRPr="00616FB8">
        <w:rPr>
          <w:color w:val="000000"/>
        </w:rPr>
        <w:t xml:space="preserve">punctele </w:t>
      </w:r>
      <w:r w:rsidR="00616FB8" w:rsidRPr="00CA27C5">
        <w:rPr>
          <w:color w:val="000000"/>
        </w:rPr>
        <w:t>39</w:t>
      </w:r>
      <w:r w:rsidR="004F45D7" w:rsidRPr="00616FB8">
        <w:rPr>
          <w:color w:val="000000"/>
        </w:rPr>
        <w:t xml:space="preserve"> și </w:t>
      </w:r>
      <w:r w:rsidR="00616FB8" w:rsidRPr="00CA27C5">
        <w:rPr>
          <w:color w:val="000000"/>
        </w:rPr>
        <w:t>40</w:t>
      </w:r>
      <w:r w:rsidR="004F45D7" w:rsidRPr="00616FB8">
        <w:rPr>
          <w:color w:val="000000"/>
        </w:rPr>
        <w:t>.</w:t>
      </w:r>
      <w:r w:rsidR="00354DDA" w:rsidRPr="006C31DC">
        <w:rPr>
          <w:color w:val="000000"/>
        </w:rPr>
        <w:t xml:space="preserve"> </w:t>
      </w:r>
    </w:p>
    <w:p w14:paraId="0FF34024" w14:textId="5EBBC7EA" w:rsidR="00FB1403" w:rsidRDefault="00FB1403" w:rsidP="00354DDA">
      <w:pPr>
        <w:pStyle w:val="CM4"/>
        <w:spacing w:before="60" w:after="60"/>
        <w:jc w:val="center"/>
        <w:rPr>
          <w:i/>
          <w:iCs/>
          <w:color w:val="000000"/>
        </w:rPr>
      </w:pPr>
      <w:r w:rsidRPr="00FB1403">
        <w:rPr>
          <w:i/>
          <w:iCs/>
          <w:color w:val="000000"/>
        </w:rPr>
        <w:t xml:space="preserve">Secțiunea </w:t>
      </w:r>
      <w:r w:rsidR="0099409E">
        <w:rPr>
          <w:i/>
          <w:iCs/>
          <w:color w:val="000000"/>
        </w:rPr>
        <w:t xml:space="preserve">a </w:t>
      </w:r>
      <w:r>
        <w:rPr>
          <w:i/>
          <w:iCs/>
          <w:color w:val="000000"/>
        </w:rPr>
        <w:t>4</w:t>
      </w:r>
      <w:r w:rsidR="0099409E">
        <w:rPr>
          <w:i/>
          <w:iCs/>
          <w:color w:val="000000"/>
        </w:rPr>
        <w:t>-a</w:t>
      </w:r>
      <w:r w:rsidR="00C8492C">
        <w:rPr>
          <w:i/>
          <w:iCs/>
          <w:color w:val="000000"/>
        </w:rPr>
        <w:t xml:space="preserve"> </w:t>
      </w:r>
    </w:p>
    <w:p w14:paraId="38AD2C40" w14:textId="643CEA3E" w:rsidR="00354DDA" w:rsidRPr="006C31DC" w:rsidRDefault="00354DDA" w:rsidP="00354DDA">
      <w:pPr>
        <w:pStyle w:val="CM4"/>
        <w:spacing w:before="60" w:after="60"/>
        <w:jc w:val="center"/>
        <w:rPr>
          <w:color w:val="000000"/>
        </w:rPr>
      </w:pPr>
      <w:r w:rsidRPr="006C31DC">
        <w:rPr>
          <w:b/>
          <w:bCs/>
          <w:color w:val="000000"/>
        </w:rPr>
        <w:t>Încadrarea tranzacţiilor în categorii de risc</w:t>
      </w:r>
    </w:p>
    <w:p w14:paraId="66875A81" w14:textId="72E37F0F" w:rsidR="00354DDA" w:rsidRPr="006C31DC" w:rsidRDefault="008551AC" w:rsidP="004A4E82">
      <w:pPr>
        <w:pStyle w:val="CM4"/>
        <w:spacing w:before="60" w:after="60"/>
        <w:ind w:firstLine="567"/>
        <w:jc w:val="both"/>
        <w:rPr>
          <w:color w:val="000000"/>
        </w:rPr>
      </w:pPr>
      <w:r>
        <w:rPr>
          <w:b/>
          <w:bCs/>
          <w:color w:val="000000"/>
        </w:rPr>
        <w:t>4</w:t>
      </w:r>
      <w:r w:rsidR="00EA3FDE">
        <w:rPr>
          <w:b/>
          <w:bCs/>
          <w:color w:val="000000"/>
        </w:rPr>
        <w:t>4</w:t>
      </w:r>
      <w:r w:rsidR="00FB1403" w:rsidRPr="00CA27C5">
        <w:rPr>
          <w:b/>
          <w:bCs/>
          <w:color w:val="000000"/>
        </w:rPr>
        <w:t>.</w:t>
      </w:r>
      <w:r w:rsidR="00354DDA" w:rsidRPr="006C31DC">
        <w:rPr>
          <w:color w:val="000000"/>
        </w:rPr>
        <w:t xml:space="preserve"> </w:t>
      </w:r>
      <w:r w:rsidR="00FB1403">
        <w:rPr>
          <w:color w:val="000000"/>
        </w:rPr>
        <w:t xml:space="preserve">Băncile </w:t>
      </w:r>
      <w:r w:rsidR="00354DDA" w:rsidRPr="006C31DC">
        <w:rPr>
          <w:color w:val="000000"/>
        </w:rPr>
        <w:t xml:space="preserve">încadrează fiecare tranzacţie dintr-un set de compensare într-una din următoarele categorii de risc pentru a determina expunerea viitoare potenţială a setului de compensare menţionată </w:t>
      </w:r>
      <w:r w:rsidR="00354DDA" w:rsidRPr="007205BA">
        <w:rPr>
          <w:color w:val="000000"/>
        </w:rPr>
        <w:t xml:space="preserve">la </w:t>
      </w:r>
      <w:r w:rsidR="007205BA" w:rsidRPr="00CA27C5">
        <w:rPr>
          <w:color w:val="000000"/>
        </w:rPr>
        <w:t>punctele 51-53</w:t>
      </w:r>
      <w:r w:rsidR="00354DDA" w:rsidRPr="007205BA">
        <w:rPr>
          <w:color w:val="000000"/>
        </w:rPr>
        <w:t>:</w:t>
      </w:r>
      <w:r w:rsidR="00354DDA" w:rsidRPr="006C31DC">
        <w:rPr>
          <w:color w:val="000000"/>
        </w:rPr>
        <w:t xml:space="preserve"> </w:t>
      </w:r>
    </w:p>
    <w:p w14:paraId="71A7FD19" w14:textId="1B84690C" w:rsidR="00354DDA" w:rsidRPr="006C31DC" w:rsidRDefault="006903FB" w:rsidP="004A4E82">
      <w:pPr>
        <w:pStyle w:val="CM4"/>
        <w:spacing w:before="60" w:after="60"/>
        <w:ind w:firstLine="567"/>
        <w:jc w:val="both"/>
        <w:rPr>
          <w:color w:val="000000"/>
        </w:rPr>
      </w:pPr>
      <w:r>
        <w:rPr>
          <w:color w:val="000000"/>
        </w:rPr>
        <w:t>1</w:t>
      </w:r>
      <w:r w:rsidR="00354DDA" w:rsidRPr="006C31DC">
        <w:rPr>
          <w:color w:val="000000"/>
        </w:rPr>
        <w:t xml:space="preserve">) riscul de rată a dobânzii; </w:t>
      </w:r>
    </w:p>
    <w:p w14:paraId="54A59A0C" w14:textId="69497AC5" w:rsidR="00354DDA" w:rsidRPr="006C31DC" w:rsidRDefault="006903FB" w:rsidP="004A4E82">
      <w:pPr>
        <w:pStyle w:val="CM4"/>
        <w:spacing w:before="60" w:after="60"/>
        <w:ind w:firstLine="567"/>
        <w:jc w:val="both"/>
        <w:rPr>
          <w:color w:val="000000"/>
        </w:rPr>
      </w:pPr>
      <w:r>
        <w:rPr>
          <w:color w:val="000000"/>
        </w:rPr>
        <w:t>2</w:t>
      </w:r>
      <w:r w:rsidR="00354DDA" w:rsidRPr="006C31DC">
        <w:rPr>
          <w:color w:val="000000"/>
        </w:rPr>
        <w:t xml:space="preserve">) riscul valutar; </w:t>
      </w:r>
    </w:p>
    <w:p w14:paraId="7013A2D6" w14:textId="74DCB0F4" w:rsidR="00354DDA" w:rsidRPr="006C31DC" w:rsidRDefault="006903FB" w:rsidP="004A4E82">
      <w:pPr>
        <w:pStyle w:val="CM4"/>
        <w:spacing w:before="60" w:after="60"/>
        <w:ind w:firstLine="567"/>
        <w:jc w:val="both"/>
        <w:rPr>
          <w:color w:val="000000"/>
        </w:rPr>
      </w:pPr>
      <w:r>
        <w:rPr>
          <w:color w:val="000000"/>
        </w:rPr>
        <w:t>3</w:t>
      </w:r>
      <w:r w:rsidR="00354DDA" w:rsidRPr="006C31DC">
        <w:rPr>
          <w:color w:val="000000"/>
        </w:rPr>
        <w:t xml:space="preserve">) riscul de credit; </w:t>
      </w:r>
    </w:p>
    <w:p w14:paraId="3C5ADBD6" w14:textId="1394ED13" w:rsidR="00354DDA" w:rsidRPr="006C31DC" w:rsidRDefault="006903FB" w:rsidP="004A4E82">
      <w:pPr>
        <w:pStyle w:val="CM4"/>
        <w:spacing w:before="60" w:after="60"/>
        <w:ind w:firstLine="567"/>
        <w:jc w:val="both"/>
        <w:rPr>
          <w:color w:val="000000"/>
        </w:rPr>
      </w:pPr>
      <w:r>
        <w:rPr>
          <w:color w:val="000000"/>
        </w:rPr>
        <w:lastRenderedPageBreak/>
        <w:t>4</w:t>
      </w:r>
      <w:r w:rsidR="00354DDA" w:rsidRPr="006C31DC">
        <w:rPr>
          <w:color w:val="000000"/>
        </w:rPr>
        <w:t xml:space="preserve">) riscul privind titlurile de capital; </w:t>
      </w:r>
    </w:p>
    <w:p w14:paraId="04B07065" w14:textId="672CE6CF" w:rsidR="00354DDA" w:rsidRPr="006C31DC" w:rsidRDefault="006903FB" w:rsidP="004A4E82">
      <w:pPr>
        <w:pStyle w:val="CM4"/>
        <w:spacing w:before="60" w:after="60"/>
        <w:ind w:firstLine="567"/>
        <w:jc w:val="both"/>
        <w:rPr>
          <w:color w:val="000000"/>
        </w:rPr>
      </w:pPr>
      <w:r>
        <w:rPr>
          <w:color w:val="000000"/>
        </w:rPr>
        <w:t>5</w:t>
      </w:r>
      <w:r w:rsidR="00354DDA" w:rsidRPr="006C31DC">
        <w:rPr>
          <w:color w:val="000000"/>
        </w:rPr>
        <w:t xml:space="preserve">) riscul de marfă; </w:t>
      </w:r>
    </w:p>
    <w:p w14:paraId="7FD48963" w14:textId="4626B17B" w:rsidR="00354DDA" w:rsidRPr="006C31DC" w:rsidRDefault="006903FB" w:rsidP="004A4E82">
      <w:pPr>
        <w:pStyle w:val="CM4"/>
        <w:spacing w:before="60" w:after="60"/>
        <w:ind w:firstLine="567"/>
        <w:jc w:val="both"/>
        <w:rPr>
          <w:color w:val="000000"/>
        </w:rPr>
      </w:pPr>
      <w:r>
        <w:rPr>
          <w:color w:val="000000"/>
        </w:rPr>
        <w:t>6</w:t>
      </w:r>
      <w:r w:rsidR="00354DDA" w:rsidRPr="006C31DC">
        <w:rPr>
          <w:color w:val="000000"/>
        </w:rPr>
        <w:t xml:space="preserve">) alte riscuri. </w:t>
      </w:r>
    </w:p>
    <w:p w14:paraId="17A78BBC" w14:textId="335025A8" w:rsidR="00354DDA" w:rsidRPr="007205BA" w:rsidRDefault="008551AC" w:rsidP="004A4E82">
      <w:pPr>
        <w:pStyle w:val="CM4"/>
        <w:spacing w:before="60" w:after="60"/>
        <w:ind w:firstLine="567"/>
        <w:jc w:val="both"/>
        <w:rPr>
          <w:color w:val="000000"/>
        </w:rPr>
      </w:pPr>
      <w:r>
        <w:rPr>
          <w:b/>
          <w:bCs/>
          <w:color w:val="000000"/>
        </w:rPr>
        <w:t>4</w:t>
      </w:r>
      <w:r w:rsidR="00EA3FDE">
        <w:rPr>
          <w:b/>
          <w:bCs/>
          <w:color w:val="000000"/>
        </w:rPr>
        <w:t>5</w:t>
      </w:r>
      <w:r w:rsidR="00FB1403" w:rsidRPr="00CA27C5">
        <w:rPr>
          <w:b/>
          <w:bCs/>
          <w:color w:val="000000"/>
        </w:rPr>
        <w:t>.</w:t>
      </w:r>
      <w:r w:rsidR="00354DDA" w:rsidRPr="006C31DC">
        <w:rPr>
          <w:color w:val="000000"/>
        </w:rPr>
        <w:t xml:space="preserve"> </w:t>
      </w:r>
      <w:r w:rsidR="00FB1403">
        <w:rPr>
          <w:color w:val="000000"/>
        </w:rPr>
        <w:t xml:space="preserve">Băncile </w:t>
      </w:r>
      <w:r w:rsidR="00354DDA" w:rsidRPr="006C31DC">
        <w:rPr>
          <w:color w:val="000000"/>
        </w:rPr>
        <w:t xml:space="preserve">efectuează încadrarea menţionată la </w:t>
      </w:r>
      <w:r w:rsidR="00FB1403" w:rsidRPr="007205BA">
        <w:rPr>
          <w:color w:val="000000"/>
        </w:rPr>
        <w:t xml:space="preserve">punctul </w:t>
      </w:r>
      <w:r w:rsidR="007205BA" w:rsidRPr="007205BA">
        <w:rPr>
          <w:color w:val="000000"/>
        </w:rPr>
        <w:t>44</w:t>
      </w:r>
      <w:r w:rsidR="00354DDA" w:rsidRPr="007205BA">
        <w:rPr>
          <w:color w:val="000000"/>
        </w:rPr>
        <w:t xml:space="preserve"> în funcţie de determinantul de risc principal al unei tranzacţii cu instrumente financiare derivate. Determinantul de risc principal este singurul determinant de risc semnificativ al unei tranzacţii cu instrumente financiare derivate. </w:t>
      </w:r>
    </w:p>
    <w:p w14:paraId="11A86D03" w14:textId="123A9E09" w:rsidR="00354DDA" w:rsidRPr="006C31DC" w:rsidRDefault="008551AC" w:rsidP="004A4E82">
      <w:pPr>
        <w:pStyle w:val="CM4"/>
        <w:spacing w:before="60" w:after="60"/>
        <w:ind w:firstLine="567"/>
        <w:jc w:val="both"/>
        <w:rPr>
          <w:color w:val="000000"/>
        </w:rPr>
      </w:pPr>
      <w:r w:rsidRPr="007205BA">
        <w:rPr>
          <w:b/>
          <w:bCs/>
          <w:color w:val="000000"/>
        </w:rPr>
        <w:t>4</w:t>
      </w:r>
      <w:r w:rsidR="00EA3FDE" w:rsidRPr="007205BA">
        <w:rPr>
          <w:b/>
          <w:bCs/>
          <w:color w:val="000000"/>
        </w:rPr>
        <w:t>6</w:t>
      </w:r>
      <w:r w:rsidR="00FB1403" w:rsidRPr="00CA27C5">
        <w:rPr>
          <w:b/>
          <w:bCs/>
          <w:color w:val="000000"/>
        </w:rPr>
        <w:t>.</w:t>
      </w:r>
      <w:r w:rsidR="00354DDA" w:rsidRPr="007205BA">
        <w:rPr>
          <w:color w:val="000000"/>
        </w:rPr>
        <w:t xml:space="preserve"> Prin derogare de la </w:t>
      </w:r>
      <w:r w:rsidR="00FB1403" w:rsidRPr="007205BA">
        <w:rPr>
          <w:color w:val="000000"/>
        </w:rPr>
        <w:t xml:space="preserve">punctul </w:t>
      </w:r>
      <w:r w:rsidR="007205BA">
        <w:rPr>
          <w:color w:val="000000"/>
        </w:rPr>
        <w:t>45</w:t>
      </w:r>
      <w:r w:rsidR="00354DDA" w:rsidRPr="006C31DC">
        <w:rPr>
          <w:color w:val="000000"/>
        </w:rPr>
        <w:t xml:space="preserve">, </w:t>
      </w:r>
      <w:r w:rsidR="00FB1403">
        <w:rPr>
          <w:color w:val="000000"/>
        </w:rPr>
        <w:t>băncile</w:t>
      </w:r>
      <w:r w:rsidR="00354DDA" w:rsidRPr="006C31DC">
        <w:rPr>
          <w:color w:val="000000"/>
        </w:rPr>
        <w:t xml:space="preserve"> încadrează tranzacţiile cu instrumente financiare derivate care au mai mult de un determinant de risc semnificativ în mai multe categorii de risc. În cazul în care toţi determinanţii de risc semnificativi ai uneia dintre aceste tranzacţii fac parte din aceeași categorie de risc, </w:t>
      </w:r>
      <w:r w:rsidR="008A0B64">
        <w:rPr>
          <w:color w:val="000000"/>
        </w:rPr>
        <w:t>băncile</w:t>
      </w:r>
      <w:r w:rsidR="00354DDA" w:rsidRPr="006C31DC">
        <w:rPr>
          <w:color w:val="000000"/>
        </w:rPr>
        <w:t xml:space="preserve"> nu sunt obligate să încadreze tranzacţia respectivă în categoria de risc respectivă decât o singură dată, pe baza celui mai semnificativ dintre determinanţii de risc. În cazul în care determinanţii de risc semnificativi ai uneia dintre aceste tranzacţii fac parte din categorii de risc diferite, </w:t>
      </w:r>
      <w:r w:rsidR="008A0B64">
        <w:rPr>
          <w:color w:val="000000"/>
        </w:rPr>
        <w:t>băncile</w:t>
      </w:r>
      <w:r w:rsidR="00354DDA" w:rsidRPr="006C31DC">
        <w:rPr>
          <w:color w:val="000000"/>
        </w:rPr>
        <w:t xml:space="preserve"> încadrează tranzacţia respectivă o singură dată în fiecare categorie de risc pentru care tranzacţia are cel puţin un determinant de risc semnificativ, pe baza celui mai semnificativ dintre determinanţii de risc din categoria de risc în cauză. </w:t>
      </w:r>
    </w:p>
    <w:p w14:paraId="056ACB09" w14:textId="5954AC2A" w:rsidR="00354DDA" w:rsidRPr="006C31DC" w:rsidRDefault="008551AC" w:rsidP="004A4E82">
      <w:pPr>
        <w:pStyle w:val="CM4"/>
        <w:spacing w:before="60" w:after="60"/>
        <w:ind w:firstLine="567"/>
        <w:jc w:val="both"/>
        <w:rPr>
          <w:color w:val="000000"/>
        </w:rPr>
      </w:pPr>
      <w:r>
        <w:rPr>
          <w:b/>
          <w:bCs/>
          <w:color w:val="000000"/>
        </w:rPr>
        <w:t>4</w:t>
      </w:r>
      <w:r w:rsidR="00EA3FDE">
        <w:rPr>
          <w:b/>
          <w:bCs/>
          <w:color w:val="000000"/>
        </w:rPr>
        <w:t>7</w:t>
      </w:r>
      <w:r w:rsidR="00FB1403" w:rsidRPr="00CA27C5">
        <w:rPr>
          <w:b/>
          <w:bCs/>
          <w:color w:val="000000"/>
        </w:rPr>
        <w:t>.</w:t>
      </w:r>
      <w:r w:rsidR="00354DDA" w:rsidRPr="006C31DC">
        <w:rPr>
          <w:color w:val="000000"/>
        </w:rPr>
        <w:t xml:space="preserve"> În pofida </w:t>
      </w:r>
      <w:r w:rsidR="008A0B64" w:rsidRPr="007205BA">
        <w:rPr>
          <w:color w:val="000000"/>
        </w:rPr>
        <w:t xml:space="preserve">punctelor </w:t>
      </w:r>
      <w:r w:rsidR="007205BA" w:rsidRPr="00CA27C5">
        <w:rPr>
          <w:color w:val="000000"/>
        </w:rPr>
        <w:t>44</w:t>
      </w:r>
      <w:r w:rsidR="008A0B64" w:rsidRPr="007205BA">
        <w:rPr>
          <w:color w:val="000000"/>
        </w:rPr>
        <w:t>-</w:t>
      </w:r>
      <w:r w:rsidR="007205BA">
        <w:rPr>
          <w:color w:val="000000"/>
        </w:rPr>
        <w:t>46</w:t>
      </w:r>
      <w:r w:rsidR="00354DDA" w:rsidRPr="006C31DC">
        <w:rPr>
          <w:color w:val="000000"/>
        </w:rPr>
        <w:t xml:space="preserve">, la încadrarea tranzacţiilor în categoriile de risc enumerate la </w:t>
      </w:r>
      <w:r w:rsidR="008A0B64">
        <w:rPr>
          <w:color w:val="000000"/>
        </w:rPr>
        <w:t>punctul 33</w:t>
      </w:r>
      <w:r w:rsidR="00354DDA" w:rsidRPr="006C31DC">
        <w:rPr>
          <w:color w:val="000000"/>
        </w:rPr>
        <w:t xml:space="preserve">, </w:t>
      </w:r>
      <w:r w:rsidR="008A0B64">
        <w:rPr>
          <w:color w:val="000000"/>
        </w:rPr>
        <w:t>băncile</w:t>
      </w:r>
      <w:r w:rsidR="00354DDA" w:rsidRPr="006C31DC">
        <w:rPr>
          <w:color w:val="000000"/>
        </w:rPr>
        <w:t xml:space="preserve"> aplică următoarele cerinţe: </w:t>
      </w:r>
    </w:p>
    <w:p w14:paraId="6CFBBB8F" w14:textId="6770E7EA" w:rsidR="00354DDA" w:rsidRPr="006C31DC" w:rsidRDefault="006903FB" w:rsidP="004A4E82">
      <w:pPr>
        <w:pStyle w:val="CM4"/>
        <w:spacing w:before="60" w:after="60"/>
        <w:ind w:firstLine="567"/>
        <w:jc w:val="both"/>
        <w:rPr>
          <w:color w:val="000000"/>
        </w:rPr>
      </w:pPr>
      <w:r>
        <w:rPr>
          <w:color w:val="000000"/>
        </w:rPr>
        <w:t>1</w:t>
      </w:r>
      <w:r w:rsidR="00354DDA" w:rsidRPr="006C31DC">
        <w:rPr>
          <w:color w:val="000000"/>
        </w:rPr>
        <w:t xml:space="preserve">) în cazul în care determinantul de risc principal al unei tranzacţii sau cel mai semnificativ determinant de risc într-o anumită categorie de risc pentru tranzacţiile menţionate la </w:t>
      </w:r>
      <w:r w:rsidR="006278B9" w:rsidRPr="00354B10">
        <w:rPr>
          <w:color w:val="000000"/>
        </w:rPr>
        <w:t xml:space="preserve">punctul </w:t>
      </w:r>
      <w:r w:rsidR="00354B10">
        <w:rPr>
          <w:color w:val="000000"/>
        </w:rPr>
        <w:t>46</w:t>
      </w:r>
      <w:r w:rsidR="00354DDA" w:rsidRPr="006C31DC">
        <w:rPr>
          <w:color w:val="000000"/>
        </w:rPr>
        <w:t xml:space="preserve"> este o variabilă legată de inflaţie, </w:t>
      </w:r>
      <w:r w:rsidR="006278B9">
        <w:rPr>
          <w:color w:val="000000"/>
        </w:rPr>
        <w:t>băncile</w:t>
      </w:r>
      <w:r w:rsidR="00354DDA" w:rsidRPr="006C31DC">
        <w:rPr>
          <w:color w:val="000000"/>
        </w:rPr>
        <w:t xml:space="preserve"> încadrează tranzacţia respectivă în categoria de risc de rată a dobânzii; </w:t>
      </w:r>
    </w:p>
    <w:p w14:paraId="10574BFF" w14:textId="30C3E807" w:rsidR="00354DDA" w:rsidRPr="006C31DC" w:rsidRDefault="006903FB" w:rsidP="004A4E82">
      <w:pPr>
        <w:pStyle w:val="CM4"/>
        <w:spacing w:before="60" w:after="60"/>
        <w:ind w:firstLine="567"/>
        <w:jc w:val="both"/>
        <w:rPr>
          <w:color w:val="000000"/>
        </w:rPr>
      </w:pPr>
      <w:r>
        <w:rPr>
          <w:color w:val="000000"/>
        </w:rPr>
        <w:t>2</w:t>
      </w:r>
      <w:r w:rsidR="00354DDA" w:rsidRPr="006C31DC">
        <w:rPr>
          <w:color w:val="000000"/>
        </w:rPr>
        <w:t xml:space="preserve">) în cazul în care determinantul de risc principal al unei tranzacţii sau cel mai semnificativ determinant de risc într-o anumită categorie de risc pentru tranzacţiile menţionate la </w:t>
      </w:r>
      <w:r w:rsidR="006278B9" w:rsidRPr="00354B10">
        <w:rPr>
          <w:color w:val="000000"/>
        </w:rPr>
        <w:t xml:space="preserve">punctul </w:t>
      </w:r>
      <w:r w:rsidR="00354B10">
        <w:rPr>
          <w:color w:val="000000"/>
        </w:rPr>
        <w:t>46</w:t>
      </w:r>
      <w:r w:rsidR="00354DDA" w:rsidRPr="006C31DC">
        <w:rPr>
          <w:color w:val="000000"/>
        </w:rPr>
        <w:t xml:space="preserve"> este o variabilă legată de condiţiile climatice, </w:t>
      </w:r>
      <w:r w:rsidR="006C72F4">
        <w:rPr>
          <w:color w:val="000000"/>
        </w:rPr>
        <w:t>băncile</w:t>
      </w:r>
      <w:r w:rsidR="00354DDA" w:rsidRPr="006C31DC">
        <w:rPr>
          <w:color w:val="000000"/>
        </w:rPr>
        <w:t xml:space="preserve"> încadrează tranzacţia respectivă în categoria de risc de marfă. </w:t>
      </w:r>
    </w:p>
    <w:p w14:paraId="1A07EF6B" w14:textId="7E3CA37D" w:rsidR="009819FD" w:rsidRDefault="009819FD" w:rsidP="00354DDA">
      <w:pPr>
        <w:pStyle w:val="CM4"/>
        <w:spacing w:before="60" w:after="60"/>
        <w:jc w:val="center"/>
        <w:rPr>
          <w:i/>
          <w:iCs/>
          <w:color w:val="000000"/>
        </w:rPr>
      </w:pPr>
      <w:r w:rsidRPr="009819FD">
        <w:rPr>
          <w:i/>
          <w:iCs/>
          <w:color w:val="000000"/>
        </w:rPr>
        <w:t xml:space="preserve">Secțiunea </w:t>
      </w:r>
      <w:r w:rsidR="0099409E">
        <w:rPr>
          <w:i/>
          <w:iCs/>
          <w:color w:val="000000"/>
        </w:rPr>
        <w:t xml:space="preserve">a </w:t>
      </w:r>
      <w:r>
        <w:rPr>
          <w:i/>
          <w:iCs/>
          <w:color w:val="000000"/>
        </w:rPr>
        <w:t>5</w:t>
      </w:r>
      <w:r w:rsidR="0099409E">
        <w:rPr>
          <w:i/>
          <w:iCs/>
          <w:color w:val="000000"/>
        </w:rPr>
        <w:t>-a</w:t>
      </w:r>
    </w:p>
    <w:p w14:paraId="7F4B8434" w14:textId="654EC5D2" w:rsidR="00354DDA" w:rsidRPr="006C31DC" w:rsidRDefault="00354DDA" w:rsidP="00354DDA">
      <w:pPr>
        <w:pStyle w:val="CM4"/>
        <w:spacing w:before="60" w:after="60"/>
        <w:jc w:val="center"/>
        <w:rPr>
          <w:color w:val="000000"/>
        </w:rPr>
      </w:pPr>
      <w:r w:rsidRPr="006C31DC">
        <w:rPr>
          <w:b/>
          <w:bCs/>
          <w:color w:val="000000"/>
        </w:rPr>
        <w:t>Seturi de acoperire a riscului</w:t>
      </w:r>
    </w:p>
    <w:p w14:paraId="0F1BC9A9" w14:textId="1139F295" w:rsidR="00354DDA" w:rsidRPr="006C31DC" w:rsidRDefault="008551AC" w:rsidP="004A4E82">
      <w:pPr>
        <w:pStyle w:val="CM4"/>
        <w:spacing w:before="60" w:after="60"/>
        <w:ind w:firstLine="567"/>
        <w:jc w:val="both"/>
        <w:rPr>
          <w:color w:val="000000"/>
        </w:rPr>
      </w:pPr>
      <w:r>
        <w:rPr>
          <w:b/>
          <w:bCs/>
          <w:color w:val="000000"/>
        </w:rPr>
        <w:t>4</w:t>
      </w:r>
      <w:r w:rsidR="00EA3FDE">
        <w:rPr>
          <w:b/>
          <w:bCs/>
          <w:color w:val="000000"/>
        </w:rPr>
        <w:t>8</w:t>
      </w:r>
      <w:r w:rsidR="009819FD" w:rsidRPr="00CA27C5">
        <w:rPr>
          <w:b/>
          <w:bCs/>
          <w:color w:val="000000"/>
        </w:rPr>
        <w:t>.</w:t>
      </w:r>
      <w:r w:rsidR="00354DDA" w:rsidRPr="006C31DC">
        <w:rPr>
          <w:color w:val="000000"/>
        </w:rPr>
        <w:t xml:space="preserve"> </w:t>
      </w:r>
      <w:r w:rsidR="009819FD">
        <w:rPr>
          <w:color w:val="000000"/>
        </w:rPr>
        <w:t>Băncile</w:t>
      </w:r>
      <w:r w:rsidR="00354DDA" w:rsidRPr="006C31DC">
        <w:rPr>
          <w:color w:val="000000"/>
        </w:rPr>
        <w:t xml:space="preserve"> stabilesc seturile de acoperire a riscului relevante pentru fiecare categorie de risc a unui set de compensare și atribuie fiecare tranzacţie acestor seturi de acoperire a riscului, după cum urmează: </w:t>
      </w:r>
    </w:p>
    <w:p w14:paraId="38141B28" w14:textId="2978889B" w:rsidR="00354DDA" w:rsidRPr="00354B10" w:rsidRDefault="006903FB" w:rsidP="004A4E82">
      <w:pPr>
        <w:pStyle w:val="CM4"/>
        <w:spacing w:before="60" w:after="60"/>
        <w:ind w:firstLine="567"/>
        <w:jc w:val="both"/>
        <w:rPr>
          <w:color w:val="000000"/>
        </w:rPr>
      </w:pPr>
      <w:r>
        <w:rPr>
          <w:color w:val="000000"/>
        </w:rPr>
        <w:t>1</w:t>
      </w:r>
      <w:r w:rsidR="00354DDA" w:rsidRPr="006C31DC">
        <w:rPr>
          <w:color w:val="000000"/>
        </w:rPr>
        <w:t xml:space="preserve">) tranzacţiile încadrate în categoria de risc de rată a dobânzii se atribuie aceluiași set de acoperire a riscului numai în cazul în care determinantul lor de risc principal sau cel mai semnificativ determinant de risc într-o anumită categorie de risc pentru tranzacţiile menţionate </w:t>
      </w:r>
      <w:r w:rsidR="00C8492C">
        <w:rPr>
          <w:color w:val="000000"/>
        </w:rPr>
        <w:t xml:space="preserve">la </w:t>
      </w:r>
      <w:r w:rsidR="00C8492C" w:rsidRPr="00354B10">
        <w:rPr>
          <w:color w:val="000000"/>
        </w:rPr>
        <w:t xml:space="preserve">punctul </w:t>
      </w:r>
      <w:r w:rsidR="00354B10" w:rsidRPr="00354B10">
        <w:rPr>
          <w:color w:val="000000"/>
        </w:rPr>
        <w:t>46</w:t>
      </w:r>
      <w:r w:rsidR="00354DDA" w:rsidRPr="00354B10">
        <w:rPr>
          <w:color w:val="000000"/>
        </w:rPr>
        <w:t xml:space="preserve"> este denominat în aceeași monedă; </w:t>
      </w:r>
    </w:p>
    <w:p w14:paraId="7662A14C" w14:textId="63631885" w:rsidR="00354DDA" w:rsidRPr="00354B10" w:rsidRDefault="006903FB" w:rsidP="004A4E82">
      <w:pPr>
        <w:pStyle w:val="CM4"/>
        <w:spacing w:before="60" w:after="60"/>
        <w:ind w:firstLine="567"/>
        <w:jc w:val="both"/>
        <w:rPr>
          <w:color w:val="000000"/>
        </w:rPr>
      </w:pPr>
      <w:r w:rsidRPr="00354B10">
        <w:rPr>
          <w:color w:val="000000"/>
        </w:rPr>
        <w:t>2</w:t>
      </w:r>
      <w:r w:rsidR="00354DDA" w:rsidRPr="00354B10">
        <w:rPr>
          <w:color w:val="000000"/>
        </w:rPr>
        <w:t xml:space="preserve">) tranzacţiile încadrate în categoria de risc valutar se atribuie aceluiași set de acoperire a riscului numai în cazul în care determinantul lor de risc principal sau cel mai semnificativ determinant de risc într-o anumită categorie de risc pentru tranzacţiile menţionate la </w:t>
      </w:r>
      <w:r w:rsidR="00C8492C" w:rsidRPr="00354B10">
        <w:rPr>
          <w:color w:val="000000"/>
        </w:rPr>
        <w:t xml:space="preserve">punctul </w:t>
      </w:r>
      <w:r w:rsidR="00354B10" w:rsidRPr="00354B10">
        <w:rPr>
          <w:color w:val="000000"/>
        </w:rPr>
        <w:t>46</w:t>
      </w:r>
      <w:r w:rsidR="00354DDA" w:rsidRPr="00354B10">
        <w:rPr>
          <w:color w:val="000000"/>
        </w:rPr>
        <w:t xml:space="preserve"> se bazează pe aceeași pereche de monede; </w:t>
      </w:r>
    </w:p>
    <w:p w14:paraId="40D2E3A9" w14:textId="2AE030BB" w:rsidR="00354DDA" w:rsidRPr="00354B10" w:rsidRDefault="006903FB" w:rsidP="004A4E82">
      <w:pPr>
        <w:pStyle w:val="CM4"/>
        <w:spacing w:before="60" w:after="60"/>
        <w:ind w:firstLine="567"/>
        <w:jc w:val="both"/>
        <w:rPr>
          <w:color w:val="000000"/>
        </w:rPr>
      </w:pPr>
      <w:r w:rsidRPr="00354B10">
        <w:rPr>
          <w:color w:val="000000"/>
        </w:rPr>
        <w:t>3</w:t>
      </w:r>
      <w:r w:rsidR="00354DDA" w:rsidRPr="00354B10">
        <w:rPr>
          <w:color w:val="000000"/>
        </w:rPr>
        <w:t xml:space="preserve">) toate tranzacţiile încadrate în categoria de risc de credit se atribuie aceluiași set de acoperire a riscului; </w:t>
      </w:r>
    </w:p>
    <w:p w14:paraId="75749864" w14:textId="434E579D" w:rsidR="00354DDA" w:rsidRPr="00354B10" w:rsidRDefault="006903FB" w:rsidP="004A4E82">
      <w:pPr>
        <w:pStyle w:val="CM4"/>
        <w:spacing w:before="60" w:after="60"/>
        <w:ind w:firstLine="567"/>
        <w:jc w:val="both"/>
        <w:rPr>
          <w:color w:val="000000"/>
        </w:rPr>
      </w:pPr>
      <w:r w:rsidRPr="00354B10">
        <w:rPr>
          <w:color w:val="000000"/>
        </w:rPr>
        <w:t>4</w:t>
      </w:r>
      <w:r w:rsidR="00354DDA" w:rsidRPr="00354B10">
        <w:rPr>
          <w:color w:val="000000"/>
        </w:rPr>
        <w:t xml:space="preserve">) toate tranzacţiile încadrate în categoria de risc privind titlurile de capital se atribuie aceluiași set de acoperire a riscului; </w:t>
      </w:r>
    </w:p>
    <w:p w14:paraId="150737E8" w14:textId="099A6787" w:rsidR="00354DDA" w:rsidRPr="006C31DC" w:rsidRDefault="006903FB" w:rsidP="004A4E82">
      <w:pPr>
        <w:pStyle w:val="CM4"/>
        <w:spacing w:before="60" w:after="60"/>
        <w:ind w:firstLine="567"/>
        <w:jc w:val="both"/>
        <w:rPr>
          <w:color w:val="000000"/>
        </w:rPr>
      </w:pPr>
      <w:r w:rsidRPr="00354B10">
        <w:rPr>
          <w:color w:val="000000"/>
        </w:rPr>
        <w:t>5</w:t>
      </w:r>
      <w:r w:rsidR="00354DDA" w:rsidRPr="00354B10">
        <w:rPr>
          <w:color w:val="000000"/>
        </w:rPr>
        <w:t xml:space="preserve">) tranzacţiile încadrate în categoria de risc de marfă se atribuie unuia din următoarele seturi de acoperire a riscului în funcţie de natura determinantului lor de risc principal sau cel mai </w:t>
      </w:r>
      <w:r w:rsidR="00354DDA" w:rsidRPr="00354B10">
        <w:rPr>
          <w:color w:val="000000"/>
        </w:rPr>
        <w:lastRenderedPageBreak/>
        <w:t xml:space="preserve">semnificativ determinant de risc într-o anumită categorie de risc pentru tranzacţiile menţionate la </w:t>
      </w:r>
      <w:r w:rsidR="00E3223F" w:rsidRPr="00354B10">
        <w:rPr>
          <w:color w:val="000000"/>
        </w:rPr>
        <w:t xml:space="preserve">punctul </w:t>
      </w:r>
      <w:r w:rsidR="00354B10" w:rsidRPr="00354B10">
        <w:rPr>
          <w:color w:val="000000"/>
        </w:rPr>
        <w:t>46</w:t>
      </w:r>
      <w:r w:rsidR="00354DDA" w:rsidRPr="00354B10">
        <w:rPr>
          <w:color w:val="000000"/>
        </w:rPr>
        <w:t>:</w:t>
      </w:r>
      <w:r w:rsidR="00354DDA" w:rsidRPr="006C31DC">
        <w:rPr>
          <w:color w:val="000000"/>
        </w:rPr>
        <w:t xml:space="preserve"> </w:t>
      </w:r>
    </w:p>
    <w:p w14:paraId="235097D2" w14:textId="77777777" w:rsidR="006903FB" w:rsidRDefault="006903FB" w:rsidP="004A4E82">
      <w:pPr>
        <w:pStyle w:val="CM4"/>
        <w:spacing w:before="60" w:after="60"/>
        <w:ind w:firstLine="567"/>
        <w:jc w:val="both"/>
        <w:rPr>
          <w:color w:val="000000"/>
        </w:rPr>
      </w:pPr>
      <w:r>
        <w:rPr>
          <w:color w:val="000000"/>
        </w:rPr>
        <w:t>a</w:t>
      </w:r>
      <w:r w:rsidR="00354DDA" w:rsidRPr="006C31DC">
        <w:rPr>
          <w:color w:val="000000"/>
        </w:rPr>
        <w:t xml:space="preserve">) energie; </w:t>
      </w:r>
    </w:p>
    <w:p w14:paraId="661DD0BC" w14:textId="3382284B" w:rsidR="00354DDA" w:rsidRPr="006C31DC" w:rsidRDefault="006903FB" w:rsidP="004A4E82">
      <w:pPr>
        <w:pStyle w:val="CM4"/>
        <w:spacing w:before="60" w:after="60"/>
        <w:ind w:firstLine="567"/>
        <w:jc w:val="both"/>
        <w:rPr>
          <w:color w:val="000000"/>
        </w:rPr>
      </w:pPr>
      <w:r>
        <w:rPr>
          <w:color w:val="000000"/>
        </w:rPr>
        <w:t>b</w:t>
      </w:r>
      <w:r w:rsidR="00354DDA" w:rsidRPr="006C31DC">
        <w:rPr>
          <w:color w:val="000000"/>
        </w:rPr>
        <w:t xml:space="preserve">) metale; </w:t>
      </w:r>
    </w:p>
    <w:p w14:paraId="20DD9B62" w14:textId="1F1C00A1" w:rsidR="00354DDA" w:rsidRPr="006C31DC" w:rsidRDefault="006903FB" w:rsidP="004A4E82">
      <w:pPr>
        <w:pStyle w:val="CM4"/>
        <w:spacing w:before="60" w:after="60"/>
        <w:ind w:firstLine="567"/>
        <w:jc w:val="both"/>
        <w:rPr>
          <w:color w:val="000000"/>
        </w:rPr>
      </w:pPr>
      <w:r>
        <w:rPr>
          <w:color w:val="000000"/>
        </w:rPr>
        <w:t>c</w:t>
      </w:r>
      <w:r w:rsidR="00354DDA" w:rsidRPr="006C31DC">
        <w:rPr>
          <w:color w:val="000000"/>
        </w:rPr>
        <w:t xml:space="preserve">) produse agricole; </w:t>
      </w:r>
    </w:p>
    <w:p w14:paraId="709EC555" w14:textId="11B2334B" w:rsidR="00354DDA" w:rsidRPr="006C31DC" w:rsidRDefault="006903FB" w:rsidP="004A4E82">
      <w:pPr>
        <w:pStyle w:val="CM4"/>
        <w:spacing w:before="60" w:after="60"/>
        <w:ind w:firstLine="567"/>
        <w:jc w:val="both"/>
        <w:rPr>
          <w:color w:val="000000"/>
        </w:rPr>
      </w:pPr>
      <w:r>
        <w:rPr>
          <w:color w:val="000000"/>
        </w:rPr>
        <w:t>d</w:t>
      </w:r>
      <w:r w:rsidR="00354DDA" w:rsidRPr="006C31DC">
        <w:rPr>
          <w:color w:val="000000"/>
        </w:rPr>
        <w:t xml:space="preserve">) alte mărfuri; </w:t>
      </w:r>
    </w:p>
    <w:p w14:paraId="32503635" w14:textId="77777777" w:rsidR="006903FB" w:rsidRDefault="006903FB" w:rsidP="004A4E82">
      <w:pPr>
        <w:pStyle w:val="CM4"/>
        <w:spacing w:before="60" w:after="60"/>
        <w:ind w:firstLine="567"/>
        <w:jc w:val="both"/>
        <w:rPr>
          <w:color w:val="000000"/>
        </w:rPr>
      </w:pPr>
      <w:r>
        <w:rPr>
          <w:color w:val="000000"/>
        </w:rPr>
        <w:t>e</w:t>
      </w:r>
      <w:r w:rsidR="00354DDA" w:rsidRPr="006C31DC">
        <w:rPr>
          <w:color w:val="000000"/>
        </w:rPr>
        <w:t xml:space="preserve">) condiţii climatice; </w:t>
      </w:r>
    </w:p>
    <w:p w14:paraId="6183708D" w14:textId="1D52507E" w:rsidR="00354DDA" w:rsidRPr="006C31DC" w:rsidRDefault="006903FB" w:rsidP="004A4E82">
      <w:pPr>
        <w:pStyle w:val="CM4"/>
        <w:spacing w:before="60" w:after="60"/>
        <w:ind w:firstLine="567"/>
        <w:jc w:val="both"/>
        <w:rPr>
          <w:color w:val="000000"/>
        </w:rPr>
      </w:pPr>
      <w:r>
        <w:rPr>
          <w:color w:val="000000"/>
        </w:rPr>
        <w:t>6</w:t>
      </w:r>
      <w:r w:rsidR="00354DDA" w:rsidRPr="006C31DC">
        <w:rPr>
          <w:color w:val="000000"/>
        </w:rPr>
        <w:t xml:space="preserve">) tranzacţiile încadrate în alte categorii de risc se atribuie aceluiași set de acoperire a riscului numai în cazul în care determinantul lor de risc principal sau cel mai semnificativ determinant de risc într-o anumită categorie de risc pentru tranzacţiile menţionate la </w:t>
      </w:r>
      <w:r w:rsidR="00E3223F" w:rsidRPr="00531444">
        <w:rPr>
          <w:color w:val="000000"/>
        </w:rPr>
        <w:t xml:space="preserve">punctul </w:t>
      </w:r>
      <w:r w:rsidR="00531444">
        <w:rPr>
          <w:color w:val="000000"/>
        </w:rPr>
        <w:t>46</w:t>
      </w:r>
      <w:r w:rsidR="00354DDA" w:rsidRPr="006C31DC">
        <w:rPr>
          <w:color w:val="000000"/>
        </w:rPr>
        <w:t xml:space="preserve"> este identic. </w:t>
      </w:r>
    </w:p>
    <w:p w14:paraId="2DC85CC0" w14:textId="0BC4D255" w:rsidR="00354DDA" w:rsidRPr="006C31DC" w:rsidRDefault="00354DDA" w:rsidP="004A4E82">
      <w:pPr>
        <w:pStyle w:val="CM4"/>
        <w:spacing w:before="60" w:after="60"/>
        <w:ind w:firstLine="567"/>
        <w:jc w:val="both"/>
        <w:rPr>
          <w:color w:val="000000"/>
        </w:rPr>
      </w:pPr>
      <w:r w:rsidRPr="006C31DC">
        <w:rPr>
          <w:color w:val="000000"/>
        </w:rPr>
        <w:t xml:space="preserve">În sensul </w:t>
      </w:r>
      <w:r w:rsidR="00951219">
        <w:rPr>
          <w:color w:val="000000"/>
        </w:rPr>
        <w:t>punctului 48 subpunctul 1)</w:t>
      </w:r>
      <w:r w:rsidRPr="006C31DC">
        <w:rPr>
          <w:color w:val="000000"/>
        </w:rPr>
        <w:t xml:space="preserve">, tranzacţiile încadrate în categoria de risc de rată a dobânzii care au ca determinant de risc principal o variabilă legată de inflaţie se atribuie unor seturi de acoperire a riscului distincte, altele decât seturile de acoperire a riscului stabilite pentru tranzacţiile încadrate în categoria de risc de rată a dobânzii care nu au ca determinant de risc principal o variabilă legată de inflaţie. Tranzacţiile respective se atribuie aceluiași set de acoperire a riscului numai în cazul în care determinantul lor de risc principal sau cel mai semnificativ determinant de risc într-o anumită categorie de risc pentru tranzacţiile menţionate la </w:t>
      </w:r>
      <w:r w:rsidR="00E3223F" w:rsidRPr="00951219">
        <w:rPr>
          <w:color w:val="000000"/>
        </w:rPr>
        <w:t xml:space="preserve">punctul </w:t>
      </w:r>
      <w:r w:rsidR="00951219">
        <w:rPr>
          <w:color w:val="000000"/>
        </w:rPr>
        <w:t>46</w:t>
      </w:r>
      <w:r w:rsidRPr="006C31DC">
        <w:rPr>
          <w:color w:val="000000"/>
        </w:rPr>
        <w:t xml:space="preserve"> este denominat în aceeași monedă. </w:t>
      </w:r>
    </w:p>
    <w:p w14:paraId="7A9AFCAD" w14:textId="46C7DD36" w:rsidR="00354DDA" w:rsidRPr="006C31DC" w:rsidRDefault="008551AC" w:rsidP="004A4E82">
      <w:pPr>
        <w:pStyle w:val="CM4"/>
        <w:spacing w:before="60" w:after="60"/>
        <w:ind w:firstLine="567"/>
        <w:jc w:val="both"/>
        <w:rPr>
          <w:color w:val="000000"/>
        </w:rPr>
      </w:pPr>
      <w:r>
        <w:rPr>
          <w:b/>
          <w:bCs/>
          <w:color w:val="000000"/>
        </w:rPr>
        <w:t>4</w:t>
      </w:r>
      <w:r w:rsidR="00EA3FDE">
        <w:rPr>
          <w:b/>
          <w:bCs/>
          <w:color w:val="000000"/>
        </w:rPr>
        <w:t>9</w:t>
      </w:r>
      <w:r w:rsidR="00E3223F" w:rsidRPr="00CA27C5">
        <w:rPr>
          <w:b/>
          <w:bCs/>
          <w:color w:val="000000"/>
        </w:rPr>
        <w:t>.</w:t>
      </w:r>
      <w:r w:rsidR="00354DDA" w:rsidRPr="006C31DC">
        <w:rPr>
          <w:color w:val="000000"/>
        </w:rPr>
        <w:t xml:space="preserve"> Prin derogare de la </w:t>
      </w:r>
      <w:r w:rsidR="00E3223F" w:rsidRPr="00951219">
        <w:rPr>
          <w:color w:val="000000"/>
        </w:rPr>
        <w:t xml:space="preserve">punctul </w:t>
      </w:r>
      <w:r w:rsidR="00951219">
        <w:rPr>
          <w:color w:val="000000"/>
        </w:rPr>
        <w:t>48</w:t>
      </w:r>
      <w:r w:rsidR="00354DDA" w:rsidRPr="006C31DC">
        <w:rPr>
          <w:color w:val="000000"/>
        </w:rPr>
        <w:t xml:space="preserve">, </w:t>
      </w:r>
      <w:r w:rsidR="00082CBD">
        <w:rPr>
          <w:color w:val="000000"/>
        </w:rPr>
        <w:t>băncile</w:t>
      </w:r>
      <w:r w:rsidR="00082CBD" w:rsidRPr="006C31DC">
        <w:rPr>
          <w:color w:val="000000"/>
        </w:rPr>
        <w:t xml:space="preserve"> </w:t>
      </w:r>
      <w:r w:rsidR="00354DDA" w:rsidRPr="006C31DC">
        <w:rPr>
          <w:color w:val="000000"/>
        </w:rPr>
        <w:t xml:space="preserve">stabilesc seturi de acoperire a riscului distincte în fiecare categorie de risc pentru următoarele tranzacţii: </w:t>
      </w:r>
    </w:p>
    <w:p w14:paraId="26DC6B44" w14:textId="377F687E" w:rsidR="00354DDA" w:rsidRPr="006C31DC" w:rsidRDefault="006903FB" w:rsidP="004A4E82">
      <w:pPr>
        <w:pStyle w:val="CM4"/>
        <w:spacing w:before="60" w:after="60"/>
        <w:ind w:firstLine="567"/>
        <w:jc w:val="both"/>
        <w:rPr>
          <w:color w:val="000000"/>
        </w:rPr>
      </w:pPr>
      <w:r>
        <w:rPr>
          <w:color w:val="000000"/>
        </w:rPr>
        <w:t>1</w:t>
      </w:r>
      <w:r w:rsidR="00354DDA" w:rsidRPr="006C31DC">
        <w:rPr>
          <w:color w:val="000000"/>
        </w:rPr>
        <w:t xml:space="preserve">) tranzacţiile pentru care determinantul de risc principal sau cel mai semnificativ determinant de risc într-o anumită categorie de risc pentru tranzacţiile menţionate </w:t>
      </w:r>
      <w:r w:rsidR="00354DDA" w:rsidRPr="00951219">
        <w:rPr>
          <w:color w:val="000000"/>
        </w:rPr>
        <w:t xml:space="preserve">la </w:t>
      </w:r>
      <w:r w:rsidR="00E3223F" w:rsidRPr="00951219">
        <w:rPr>
          <w:color w:val="000000"/>
        </w:rPr>
        <w:t xml:space="preserve">punctul </w:t>
      </w:r>
      <w:r w:rsidR="00951219">
        <w:rPr>
          <w:color w:val="000000"/>
        </w:rPr>
        <w:t>46</w:t>
      </w:r>
      <w:r w:rsidR="00354DDA" w:rsidRPr="006C31DC">
        <w:rPr>
          <w:color w:val="000000"/>
        </w:rPr>
        <w:t xml:space="preserve"> este fie volatilitatea de piaţă implicită sau volatilitatea realizată a unui determinant de risc, fie corelaţia dintre doi determinanţi de risc; </w:t>
      </w:r>
    </w:p>
    <w:p w14:paraId="710BD143" w14:textId="3EE0421E" w:rsidR="00354DDA" w:rsidRPr="006C31DC" w:rsidRDefault="006903FB" w:rsidP="004A4E82">
      <w:pPr>
        <w:pStyle w:val="CM4"/>
        <w:spacing w:before="60" w:after="60"/>
        <w:ind w:firstLine="567"/>
        <w:jc w:val="both"/>
        <w:rPr>
          <w:color w:val="000000"/>
        </w:rPr>
      </w:pPr>
      <w:r>
        <w:rPr>
          <w:color w:val="000000"/>
        </w:rPr>
        <w:t>2</w:t>
      </w:r>
      <w:r w:rsidR="00354DDA" w:rsidRPr="006C31DC">
        <w:rPr>
          <w:color w:val="000000"/>
        </w:rPr>
        <w:t xml:space="preserve">) tranzacţiile pentru care determinantul de risc principal sau cel mai semnificativ determinant de risc într-o anumită categorie de risc pentru tranzacţiile menţionate la </w:t>
      </w:r>
      <w:r w:rsidR="00D309AE" w:rsidRPr="00951219">
        <w:rPr>
          <w:color w:val="000000"/>
        </w:rPr>
        <w:t xml:space="preserve">punctul </w:t>
      </w:r>
      <w:r w:rsidR="00951219">
        <w:rPr>
          <w:color w:val="000000"/>
        </w:rPr>
        <w:t>46</w:t>
      </w:r>
      <w:r w:rsidR="00354DDA" w:rsidRPr="006C31DC">
        <w:rPr>
          <w:color w:val="000000"/>
        </w:rPr>
        <w:t xml:space="preserve"> este reprezentat de diferenţa dintre doi determinanţi de risc încadraţi în aceeași categorie de risc sau tranzacţiile care constau în două segmente de plată denominate în aceeași monedă și pentru care un determinant de risc din aceeași categorie de risc ca și principalul determinant de risc este inclus în celălalt segment de plată decât cel care conţine determinantul de risc principal. </w:t>
      </w:r>
    </w:p>
    <w:p w14:paraId="6D67F511" w14:textId="2D1E60E8" w:rsidR="00354DDA" w:rsidRPr="006C31DC" w:rsidRDefault="00354DDA" w:rsidP="004A4E82">
      <w:pPr>
        <w:pStyle w:val="CM4"/>
        <w:spacing w:before="60" w:after="60"/>
        <w:ind w:firstLine="567"/>
        <w:jc w:val="both"/>
        <w:rPr>
          <w:color w:val="000000"/>
        </w:rPr>
      </w:pPr>
      <w:r w:rsidRPr="006C31DC">
        <w:rPr>
          <w:color w:val="000000"/>
        </w:rPr>
        <w:t xml:space="preserve">În sensul </w:t>
      </w:r>
      <w:r w:rsidR="00951219">
        <w:rPr>
          <w:color w:val="000000"/>
        </w:rPr>
        <w:t>subpunctului 1)</w:t>
      </w:r>
      <w:r w:rsidRPr="006C31DC">
        <w:rPr>
          <w:color w:val="000000"/>
        </w:rPr>
        <w:t xml:space="preserve">, </w:t>
      </w:r>
      <w:r w:rsidR="005B3E35">
        <w:rPr>
          <w:color w:val="000000"/>
        </w:rPr>
        <w:t>băncile</w:t>
      </w:r>
      <w:r w:rsidRPr="006C31DC">
        <w:rPr>
          <w:color w:val="000000"/>
        </w:rPr>
        <w:t xml:space="preserve"> atribuie tranzacţiile aceluiași set de acoperire a riscului din categoria de risc relevantă numai în cazul în care determinantul de risc principal al acestora sau cel mai semnificativ determinant de risc într-o anumită categorie de risc pentru tranzacţiile menţionate la </w:t>
      </w:r>
      <w:r w:rsidR="00FC0693" w:rsidRPr="00CA27C5">
        <w:rPr>
          <w:color w:val="000000"/>
        </w:rPr>
        <w:t xml:space="preserve">punctul </w:t>
      </w:r>
      <w:r w:rsidR="00951219" w:rsidRPr="00951219">
        <w:rPr>
          <w:color w:val="000000"/>
        </w:rPr>
        <w:t>4</w:t>
      </w:r>
      <w:r w:rsidR="00951219">
        <w:rPr>
          <w:color w:val="000000"/>
        </w:rPr>
        <w:t>6</w:t>
      </w:r>
      <w:r w:rsidRPr="006C31DC">
        <w:rPr>
          <w:color w:val="000000"/>
        </w:rPr>
        <w:t xml:space="preserve"> este identic. </w:t>
      </w:r>
    </w:p>
    <w:p w14:paraId="48318596" w14:textId="4981425E" w:rsidR="00354DDA" w:rsidRPr="006C31DC" w:rsidRDefault="00354DDA" w:rsidP="004A4E82">
      <w:pPr>
        <w:pStyle w:val="CM4"/>
        <w:spacing w:before="60" w:after="60"/>
        <w:ind w:firstLine="567"/>
        <w:jc w:val="both"/>
        <w:rPr>
          <w:color w:val="000000"/>
        </w:rPr>
      </w:pPr>
      <w:r w:rsidRPr="006C31DC">
        <w:rPr>
          <w:color w:val="000000"/>
        </w:rPr>
        <w:t xml:space="preserve">În sensul </w:t>
      </w:r>
      <w:r w:rsidR="00951219" w:rsidRPr="00951219">
        <w:rPr>
          <w:color w:val="000000"/>
        </w:rPr>
        <w:t xml:space="preserve">subpunctului </w:t>
      </w:r>
      <w:r w:rsidR="00951219">
        <w:rPr>
          <w:color w:val="000000"/>
        </w:rPr>
        <w:t>2</w:t>
      </w:r>
      <w:r w:rsidR="00951219" w:rsidRPr="00951219">
        <w:rPr>
          <w:color w:val="000000"/>
        </w:rPr>
        <w:t xml:space="preserve">), </w:t>
      </w:r>
      <w:r w:rsidR="00FC0693">
        <w:rPr>
          <w:color w:val="000000"/>
        </w:rPr>
        <w:t>băncile</w:t>
      </w:r>
      <w:r w:rsidRPr="006C31DC">
        <w:rPr>
          <w:color w:val="000000"/>
        </w:rPr>
        <w:t xml:space="preserve"> atribuie tranzacţiile aceluiași set de acoperire a riscului din categoria de risc relevantă numai în cazul în care perechea de determinanţi de risc din tranzacţiile menţionate la </w:t>
      </w:r>
      <w:r w:rsidR="00951219" w:rsidRPr="00951219">
        <w:rPr>
          <w:color w:val="000000"/>
        </w:rPr>
        <w:t xml:space="preserve">subpunctul </w:t>
      </w:r>
      <w:r w:rsidR="00951219">
        <w:rPr>
          <w:color w:val="000000"/>
        </w:rPr>
        <w:t>2</w:t>
      </w:r>
      <w:r w:rsidR="00951219" w:rsidRPr="00951219">
        <w:rPr>
          <w:color w:val="000000"/>
        </w:rPr>
        <w:t xml:space="preserve">) </w:t>
      </w:r>
      <w:r w:rsidRPr="006C31DC">
        <w:rPr>
          <w:color w:val="000000"/>
        </w:rPr>
        <w:t xml:space="preserve">este identică, iar între cei doi determinanţi de risc care fac parte din pereche există o corelaţie pozitivă. În caz contrar, </w:t>
      </w:r>
      <w:r w:rsidR="00FC0693">
        <w:rPr>
          <w:color w:val="000000"/>
        </w:rPr>
        <w:t>băncile</w:t>
      </w:r>
      <w:r w:rsidRPr="006C31DC">
        <w:rPr>
          <w:color w:val="000000"/>
        </w:rPr>
        <w:t xml:space="preserve"> atribuie tranzacţiile menţionate la </w:t>
      </w:r>
      <w:r w:rsidR="00951219" w:rsidRPr="00951219">
        <w:rPr>
          <w:color w:val="000000"/>
        </w:rPr>
        <w:t xml:space="preserve">subpunctul </w:t>
      </w:r>
      <w:r w:rsidR="00951219">
        <w:rPr>
          <w:color w:val="000000"/>
        </w:rPr>
        <w:t>2</w:t>
      </w:r>
      <w:r w:rsidR="00951219" w:rsidRPr="00951219">
        <w:rPr>
          <w:color w:val="000000"/>
        </w:rPr>
        <w:t xml:space="preserve">) </w:t>
      </w:r>
      <w:r w:rsidRPr="006C31DC">
        <w:rPr>
          <w:color w:val="000000"/>
        </w:rPr>
        <w:t xml:space="preserve">unuia dintre seturile de acoperire a riscului stabilite în conformitate cu </w:t>
      </w:r>
      <w:r w:rsidR="00FC0693" w:rsidRPr="00951219">
        <w:rPr>
          <w:color w:val="000000"/>
        </w:rPr>
        <w:t xml:space="preserve">punctul </w:t>
      </w:r>
      <w:r w:rsidR="00951219">
        <w:rPr>
          <w:color w:val="000000"/>
        </w:rPr>
        <w:t>48</w:t>
      </w:r>
      <w:r w:rsidRPr="006C31DC">
        <w:rPr>
          <w:color w:val="000000"/>
        </w:rPr>
        <w:t xml:space="preserve"> doar pe baza unuia dintre cei doi determinanţi de risc menţionaţi la </w:t>
      </w:r>
      <w:r w:rsidR="00951219">
        <w:rPr>
          <w:color w:val="000000"/>
        </w:rPr>
        <w:t>subpunctul 2)</w:t>
      </w:r>
      <w:r w:rsidR="00D93B2B">
        <w:rPr>
          <w:color w:val="000000"/>
        </w:rPr>
        <w:t>.</w:t>
      </w:r>
    </w:p>
    <w:p w14:paraId="2EDEA170" w14:textId="6A813EF6" w:rsidR="00354DDA" w:rsidRDefault="00EA3FDE" w:rsidP="004A4E82">
      <w:pPr>
        <w:pStyle w:val="CM4"/>
        <w:spacing w:before="60" w:after="60"/>
        <w:ind w:firstLine="567"/>
        <w:jc w:val="both"/>
        <w:rPr>
          <w:color w:val="000000"/>
        </w:rPr>
      </w:pPr>
      <w:r>
        <w:rPr>
          <w:b/>
          <w:bCs/>
          <w:color w:val="000000"/>
        </w:rPr>
        <w:t>50</w:t>
      </w:r>
      <w:r w:rsidR="00FC0693" w:rsidRPr="00CA27C5">
        <w:rPr>
          <w:b/>
          <w:bCs/>
          <w:color w:val="000000"/>
        </w:rPr>
        <w:t xml:space="preserve">. </w:t>
      </w:r>
      <w:r w:rsidR="00FC0693">
        <w:rPr>
          <w:color w:val="000000"/>
        </w:rPr>
        <w:t>Băncile</w:t>
      </w:r>
      <w:r w:rsidR="00354DDA" w:rsidRPr="006C31DC">
        <w:rPr>
          <w:color w:val="000000"/>
        </w:rPr>
        <w:t xml:space="preserve"> pun la dispoziţie, la cererea </w:t>
      </w:r>
      <w:r w:rsidR="00FB15A6" w:rsidRPr="00385EFD">
        <w:rPr>
          <w:color w:val="000000"/>
        </w:rPr>
        <w:t>B</w:t>
      </w:r>
      <w:r w:rsidR="00385EFD" w:rsidRPr="00385EFD">
        <w:rPr>
          <w:color w:val="000000"/>
        </w:rPr>
        <w:t xml:space="preserve">ăncii </w:t>
      </w:r>
      <w:r w:rsidR="00FB15A6" w:rsidRPr="00385EFD">
        <w:rPr>
          <w:color w:val="000000"/>
        </w:rPr>
        <w:t>N</w:t>
      </w:r>
      <w:r w:rsidR="00385EFD" w:rsidRPr="00385EFD">
        <w:rPr>
          <w:color w:val="000000"/>
        </w:rPr>
        <w:t xml:space="preserve">aționale a </w:t>
      </w:r>
      <w:r w:rsidR="00FB15A6" w:rsidRPr="00385EFD">
        <w:rPr>
          <w:color w:val="000000"/>
        </w:rPr>
        <w:t>M</w:t>
      </w:r>
      <w:r w:rsidR="00385EFD" w:rsidRPr="00385EFD">
        <w:rPr>
          <w:color w:val="000000"/>
        </w:rPr>
        <w:t>oldovei</w:t>
      </w:r>
      <w:r w:rsidR="00354DDA" w:rsidRPr="006C31DC">
        <w:rPr>
          <w:color w:val="000000"/>
        </w:rPr>
        <w:t xml:space="preserve">, numărul de seturi de acoperire a riscului stabilite în conformitate cu </w:t>
      </w:r>
      <w:r w:rsidR="00FC0693" w:rsidRPr="00951219">
        <w:rPr>
          <w:color w:val="000000"/>
        </w:rPr>
        <w:t xml:space="preserve">punctul </w:t>
      </w:r>
      <w:r w:rsidR="00951219" w:rsidRPr="00951219">
        <w:rPr>
          <w:color w:val="000000"/>
        </w:rPr>
        <w:t>49</w:t>
      </w:r>
      <w:r w:rsidR="00354DDA" w:rsidRPr="00951219">
        <w:rPr>
          <w:color w:val="000000"/>
        </w:rPr>
        <w:t xml:space="preserve"> de la prezent</w:t>
      </w:r>
      <w:r w:rsidR="00FC0693" w:rsidRPr="00951219">
        <w:rPr>
          <w:color w:val="000000"/>
        </w:rPr>
        <w:t xml:space="preserve">a secțiune </w:t>
      </w:r>
      <w:r w:rsidR="00354DDA" w:rsidRPr="00951219">
        <w:rPr>
          <w:color w:val="000000"/>
        </w:rPr>
        <w:t xml:space="preserve">pentru fiecare categorie de risc, împreună cu determinantul de risc principal sau cel mai semnificativ determinant de risc într-o anumită categorie de risc pentru tranzacţiile menţionate la </w:t>
      </w:r>
      <w:r w:rsidR="00FC0693" w:rsidRPr="00951219">
        <w:rPr>
          <w:color w:val="000000"/>
        </w:rPr>
        <w:t xml:space="preserve">punctul </w:t>
      </w:r>
      <w:r w:rsidR="00951219">
        <w:rPr>
          <w:color w:val="000000"/>
        </w:rPr>
        <w:t>46</w:t>
      </w:r>
      <w:r w:rsidR="00354DDA" w:rsidRPr="006C31DC">
        <w:rPr>
          <w:color w:val="000000"/>
        </w:rPr>
        <w:t xml:space="preserve"> sau perechea de determinanţi de risc aferentă fiecăruia dintre seturile de acoperire a riscului respective și cu numărul de tranzacţii din cadrul fiecărui set de acoperire a riscului. </w:t>
      </w:r>
    </w:p>
    <w:p w14:paraId="77BAFB4E" w14:textId="26C2FDE5" w:rsidR="00FC0693" w:rsidRDefault="00FC0693" w:rsidP="004A4E82">
      <w:pPr>
        <w:pStyle w:val="CM4"/>
        <w:spacing w:before="60" w:after="60"/>
        <w:ind w:firstLine="567"/>
        <w:jc w:val="center"/>
        <w:rPr>
          <w:i/>
          <w:iCs/>
          <w:color w:val="000000"/>
        </w:rPr>
      </w:pPr>
      <w:r w:rsidRPr="009819FD">
        <w:rPr>
          <w:i/>
          <w:iCs/>
          <w:color w:val="000000"/>
        </w:rPr>
        <w:lastRenderedPageBreak/>
        <w:t xml:space="preserve">Secțiunea </w:t>
      </w:r>
      <w:r w:rsidR="0099409E">
        <w:rPr>
          <w:i/>
          <w:iCs/>
          <w:color w:val="000000"/>
        </w:rPr>
        <w:t xml:space="preserve">a </w:t>
      </w:r>
      <w:r>
        <w:rPr>
          <w:i/>
          <w:iCs/>
          <w:color w:val="000000"/>
        </w:rPr>
        <w:t>6</w:t>
      </w:r>
      <w:r w:rsidR="0099409E">
        <w:rPr>
          <w:i/>
          <w:iCs/>
          <w:color w:val="000000"/>
        </w:rPr>
        <w:t>-a</w:t>
      </w:r>
      <w:r>
        <w:rPr>
          <w:i/>
          <w:iCs/>
          <w:color w:val="000000"/>
        </w:rPr>
        <w:t xml:space="preserve"> </w:t>
      </w:r>
    </w:p>
    <w:p w14:paraId="7F598E60" w14:textId="77777777" w:rsidR="00354DDA" w:rsidRPr="00CA27C5" w:rsidRDefault="00354DDA" w:rsidP="004A4E82">
      <w:pPr>
        <w:pStyle w:val="Default"/>
        <w:ind w:firstLine="567"/>
        <w:jc w:val="center"/>
        <w:rPr>
          <w:b/>
          <w:bCs/>
        </w:rPr>
      </w:pPr>
      <w:r w:rsidRPr="00CA27C5">
        <w:rPr>
          <w:b/>
          <w:bCs/>
        </w:rPr>
        <w:t>Expunerea viitoare potenţială</w:t>
      </w:r>
    </w:p>
    <w:p w14:paraId="29B7F495" w14:textId="079FF3F4" w:rsidR="00354DDA" w:rsidRDefault="008551AC" w:rsidP="004A4E82">
      <w:pPr>
        <w:pStyle w:val="Default"/>
        <w:ind w:firstLine="567"/>
      </w:pPr>
      <w:r>
        <w:rPr>
          <w:b/>
          <w:bCs/>
        </w:rPr>
        <w:t>5</w:t>
      </w:r>
      <w:r w:rsidR="00EA3FDE">
        <w:rPr>
          <w:b/>
          <w:bCs/>
        </w:rPr>
        <w:t>1</w:t>
      </w:r>
      <w:r w:rsidR="00FC0693" w:rsidRPr="00CA27C5">
        <w:rPr>
          <w:b/>
          <w:bCs/>
        </w:rPr>
        <w:t>.</w:t>
      </w:r>
      <w:r w:rsidR="00354DDA">
        <w:t xml:space="preserve"> </w:t>
      </w:r>
      <w:r w:rsidR="00FC0693">
        <w:t>Băncile</w:t>
      </w:r>
      <w:r w:rsidR="00354DDA">
        <w:t xml:space="preserve"> calculează expunerea viitoare potenţială a unui set de compensare după cum urmează: </w:t>
      </w:r>
    </w:p>
    <w:p w14:paraId="61E708CF" w14:textId="2AD0F99F" w:rsidR="00F73D56" w:rsidRDefault="00F73D56" w:rsidP="004A4E82">
      <w:pPr>
        <w:pStyle w:val="Default"/>
        <w:ind w:firstLine="567"/>
        <w:jc w:val="center"/>
      </w:pPr>
      <w:r w:rsidRPr="006C31DC">
        <w:rPr>
          <w:noProof/>
          <w:lang w:val="en-US"/>
        </w:rPr>
        <w:drawing>
          <wp:inline distT="0" distB="0" distL="0" distR="0" wp14:anchorId="2E05156A" wp14:editId="14135662">
            <wp:extent cx="2070340" cy="353060"/>
            <wp:effectExtent l="0" t="0" r="6350" b="8890"/>
            <wp:docPr id="222325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980" cy="357944"/>
                    </a:xfrm>
                    <a:prstGeom prst="rect">
                      <a:avLst/>
                    </a:prstGeom>
                    <a:noFill/>
                  </pic:spPr>
                </pic:pic>
              </a:graphicData>
            </a:graphic>
          </wp:inline>
        </w:drawing>
      </w:r>
    </w:p>
    <w:p w14:paraId="112ECDC6" w14:textId="77777777" w:rsidR="00354DDA" w:rsidRDefault="00354DDA" w:rsidP="004A4E82">
      <w:pPr>
        <w:pStyle w:val="Default"/>
        <w:ind w:firstLine="567"/>
      </w:pPr>
      <w:r>
        <w:t xml:space="preserve"> </w:t>
      </w:r>
    </w:p>
    <w:p w14:paraId="4B98F002" w14:textId="77777777" w:rsidR="00354DDA" w:rsidRDefault="00354DDA" w:rsidP="004A4E82">
      <w:pPr>
        <w:pStyle w:val="Default"/>
        <w:ind w:firstLine="567"/>
        <w:jc w:val="both"/>
      </w:pPr>
      <w:r>
        <w:t xml:space="preserve">unde: </w:t>
      </w:r>
    </w:p>
    <w:p w14:paraId="453C56B7" w14:textId="77777777" w:rsidR="00354DDA" w:rsidRDefault="00354DDA" w:rsidP="004A4E82">
      <w:pPr>
        <w:pStyle w:val="Default"/>
        <w:ind w:firstLine="567"/>
        <w:jc w:val="both"/>
      </w:pPr>
      <w:r>
        <w:t xml:space="preserve">PFE = expunerea viitoare potenţială; </w:t>
      </w:r>
    </w:p>
    <w:p w14:paraId="36D78A17" w14:textId="77777777" w:rsidR="00354DDA" w:rsidRDefault="00354DDA" w:rsidP="004A4E82">
      <w:pPr>
        <w:pStyle w:val="Default"/>
        <w:ind w:firstLine="567"/>
        <w:jc w:val="both"/>
      </w:pPr>
      <w:r>
        <w:t xml:space="preserve">a = indicele care desemnează categoriile de risc incluse în calculul expunerii viitoare potenţiale a setului de compensare; </w:t>
      </w:r>
    </w:p>
    <w:p w14:paraId="05D96582" w14:textId="5B3400F3" w:rsidR="00354DDA" w:rsidRDefault="00354DDA" w:rsidP="004A4E82">
      <w:pPr>
        <w:pStyle w:val="Default"/>
        <w:ind w:firstLine="567"/>
        <w:jc w:val="both"/>
      </w:pPr>
      <w:r>
        <w:t>AddOn</w:t>
      </w:r>
      <w:r w:rsidRPr="00CA27C5">
        <w:rPr>
          <w:vertAlign w:val="superscript"/>
        </w:rPr>
        <w:t>(a)</w:t>
      </w:r>
      <w:r>
        <w:t xml:space="preserve"> = majorarea pentru categoria de risc calculată în conformitate </w:t>
      </w:r>
      <w:r w:rsidRPr="00B4215C">
        <w:t xml:space="preserve">cu </w:t>
      </w:r>
      <w:bookmarkStart w:id="3" w:name="_Hlk152968829"/>
      <w:r w:rsidR="00B4215C">
        <w:t>punctele 63-83</w:t>
      </w:r>
      <w:bookmarkEnd w:id="3"/>
      <w:r>
        <w:t xml:space="preserve">, după caz; și </w:t>
      </w:r>
    </w:p>
    <w:p w14:paraId="0017D4D8" w14:textId="4311941B" w:rsidR="00354DDA" w:rsidRPr="00B4215C" w:rsidRDefault="00354DDA" w:rsidP="004A4E82">
      <w:pPr>
        <w:pStyle w:val="Default"/>
        <w:ind w:firstLine="567"/>
        <w:jc w:val="both"/>
      </w:pPr>
      <w:r>
        <w:t xml:space="preserve">multiplicator (multiplier) = factorul de multiplicare calculat în conformitate cu formula menţionată la </w:t>
      </w:r>
      <w:r w:rsidR="00F73D56" w:rsidRPr="00B4215C">
        <w:t>punctul</w:t>
      </w:r>
      <w:r w:rsidR="00F669E7" w:rsidRPr="00B4215C">
        <w:t xml:space="preserve"> </w:t>
      </w:r>
      <w:r w:rsidR="00B4215C" w:rsidRPr="00CA27C5">
        <w:t>53</w:t>
      </w:r>
      <w:r w:rsidRPr="00B4215C">
        <w:t xml:space="preserve">. </w:t>
      </w:r>
    </w:p>
    <w:p w14:paraId="2D4D00D1" w14:textId="4CCBBFFA" w:rsidR="00354DDA" w:rsidRPr="00B4215C" w:rsidRDefault="00354DDA" w:rsidP="004A4E82">
      <w:pPr>
        <w:pStyle w:val="Default"/>
        <w:ind w:firstLine="567"/>
        <w:jc w:val="both"/>
      </w:pPr>
      <w:r w:rsidRPr="00B4215C">
        <w:t xml:space="preserve">În scopul acestui calcul, </w:t>
      </w:r>
      <w:r w:rsidR="00F669E7" w:rsidRPr="00B4215C">
        <w:t>băncile</w:t>
      </w:r>
      <w:r w:rsidRPr="00B4215C">
        <w:t xml:space="preserve"> includ majorarea (add-on) aferentă unei anumite categorii de risc în calculul expunerii viitoare potenţiale a unui set de compensare</w:t>
      </w:r>
      <w:r w:rsidR="00960A49">
        <w:t>,</w:t>
      </w:r>
      <w:r w:rsidRPr="00B4215C">
        <w:t xml:space="preserve"> în cazul în care cel puţin o tranzacţie din setul de compensare a fost încadrată în categoria de risc respectivă. </w:t>
      </w:r>
    </w:p>
    <w:p w14:paraId="7E251B0E" w14:textId="5AB37BCC" w:rsidR="00354DDA" w:rsidRDefault="008551AC" w:rsidP="004A4E82">
      <w:pPr>
        <w:pStyle w:val="Default"/>
        <w:ind w:firstLine="567"/>
        <w:jc w:val="both"/>
      </w:pPr>
      <w:r w:rsidRPr="00B4215C">
        <w:rPr>
          <w:b/>
          <w:bCs/>
        </w:rPr>
        <w:t>5</w:t>
      </w:r>
      <w:r w:rsidR="00EA3FDE" w:rsidRPr="00B4215C">
        <w:rPr>
          <w:b/>
          <w:bCs/>
        </w:rPr>
        <w:t>2</w:t>
      </w:r>
      <w:r w:rsidR="00F669E7" w:rsidRPr="00CA27C5">
        <w:rPr>
          <w:b/>
          <w:bCs/>
        </w:rPr>
        <w:t>.</w:t>
      </w:r>
      <w:r w:rsidR="00354DDA" w:rsidRPr="00B4215C">
        <w:t xml:space="preserve"> Expunerea viitoare potenţială a seturilor de compensare multiple care fac obiectul unui singur contract în marjă, astfel cum se menţionează la </w:t>
      </w:r>
      <w:r w:rsidR="00F669E7" w:rsidRPr="00B4215C">
        <w:t xml:space="preserve">punctul </w:t>
      </w:r>
      <w:r w:rsidR="00B4215C" w:rsidRPr="00B4215C">
        <w:t>46</w:t>
      </w:r>
      <w:r w:rsidR="00354DDA" w:rsidRPr="00B4215C">
        <w:t>,</w:t>
      </w:r>
      <w:r w:rsidR="00354DDA">
        <w:t xml:space="preserve"> se calculează ca suma expunerilor viitoare potenţiale a tuturor seturilor de compensare individuale ca și cum nu ar face obiectul niciunei forme de contract în marjă. </w:t>
      </w:r>
    </w:p>
    <w:p w14:paraId="708BDA59" w14:textId="3ED55482" w:rsidR="00354DDA" w:rsidRDefault="008551AC" w:rsidP="004A4E82">
      <w:pPr>
        <w:pStyle w:val="Default"/>
        <w:ind w:firstLine="567"/>
      </w:pPr>
      <w:r>
        <w:rPr>
          <w:b/>
          <w:bCs/>
        </w:rPr>
        <w:t>5</w:t>
      </w:r>
      <w:r w:rsidR="00EA3FDE">
        <w:rPr>
          <w:b/>
          <w:bCs/>
        </w:rPr>
        <w:t>3</w:t>
      </w:r>
      <w:r w:rsidR="00F669E7" w:rsidRPr="00CA27C5">
        <w:rPr>
          <w:b/>
          <w:bCs/>
        </w:rPr>
        <w:t>.</w:t>
      </w:r>
      <w:r w:rsidR="00354DDA">
        <w:t xml:space="preserve"> În scopul alineatului (1), multiplicatorul se calculează după cum urmează: </w:t>
      </w:r>
    </w:p>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79"/>
        <w:gridCol w:w="5256"/>
        <w:gridCol w:w="1708"/>
      </w:tblGrid>
      <w:tr w:rsidR="00F669E7" w:rsidRPr="006C31DC" w14:paraId="74D33176" w14:textId="77777777" w:rsidTr="009C3A2C">
        <w:tc>
          <w:tcPr>
            <w:tcW w:w="1696" w:type="dxa"/>
            <w:vMerge w:val="restart"/>
          </w:tcPr>
          <w:p w14:paraId="3B376DE4" w14:textId="77777777" w:rsidR="00F669E7" w:rsidRPr="006C31DC" w:rsidRDefault="00F669E7" w:rsidP="004A4E82">
            <w:pPr>
              <w:pStyle w:val="Default"/>
              <w:ind w:firstLine="567"/>
            </w:pPr>
          </w:p>
          <w:p w14:paraId="587FAA7B" w14:textId="77777777" w:rsidR="00F669E7" w:rsidRDefault="00F669E7" w:rsidP="004A4E82">
            <w:pPr>
              <w:pStyle w:val="Default"/>
              <w:ind w:firstLine="567"/>
            </w:pPr>
          </w:p>
          <w:p w14:paraId="34BC04AE" w14:textId="77777777" w:rsidR="00F669E7" w:rsidRPr="006C31DC" w:rsidRDefault="00F669E7" w:rsidP="009C3A2C">
            <w:pPr>
              <w:pStyle w:val="Default"/>
            </w:pPr>
            <w:r w:rsidRPr="006C31DC">
              <w:t>multiplicator =</w:t>
            </w:r>
          </w:p>
          <w:p w14:paraId="2C0C5271" w14:textId="77777777" w:rsidR="00F669E7" w:rsidRPr="006C31DC" w:rsidRDefault="00F669E7" w:rsidP="004A4E82">
            <w:pPr>
              <w:pStyle w:val="Default"/>
              <w:ind w:firstLine="567"/>
            </w:pPr>
          </w:p>
        </w:tc>
        <w:tc>
          <w:tcPr>
            <w:tcW w:w="680" w:type="dxa"/>
            <w:vMerge w:val="restart"/>
          </w:tcPr>
          <w:p w14:paraId="6FC37A9C" w14:textId="77777777" w:rsidR="00F669E7" w:rsidRPr="006C31DC" w:rsidRDefault="00F669E7" w:rsidP="009C3A2C">
            <w:pPr>
              <w:pStyle w:val="Default"/>
              <w:ind w:firstLine="4"/>
              <w:rPr>
                <w:sz w:val="96"/>
                <w:szCs w:val="96"/>
              </w:rPr>
            </w:pPr>
            <w:r w:rsidRPr="006C31DC">
              <w:rPr>
                <w:sz w:val="96"/>
                <w:szCs w:val="96"/>
              </w:rPr>
              <w:t>{</w:t>
            </w:r>
          </w:p>
        </w:tc>
        <w:tc>
          <w:tcPr>
            <w:tcW w:w="6873" w:type="dxa"/>
            <w:gridSpan w:val="2"/>
          </w:tcPr>
          <w:p w14:paraId="3943B067" w14:textId="77777777" w:rsidR="00F669E7" w:rsidRPr="006C31DC" w:rsidRDefault="00F669E7" w:rsidP="004A4E82">
            <w:pPr>
              <w:pStyle w:val="Default"/>
              <w:ind w:firstLine="567"/>
            </w:pPr>
            <w:r w:rsidRPr="006C31DC">
              <w:t>1 dacă z ≥ 0</w:t>
            </w:r>
          </w:p>
        </w:tc>
      </w:tr>
      <w:tr w:rsidR="00F669E7" w:rsidRPr="006C31DC" w14:paraId="1716DE5E" w14:textId="77777777" w:rsidTr="009C3A2C">
        <w:tc>
          <w:tcPr>
            <w:tcW w:w="1696" w:type="dxa"/>
            <w:vMerge/>
          </w:tcPr>
          <w:p w14:paraId="651D7819" w14:textId="77777777" w:rsidR="00F669E7" w:rsidRPr="006C31DC" w:rsidRDefault="00F669E7" w:rsidP="004A4E82">
            <w:pPr>
              <w:pStyle w:val="Default"/>
              <w:ind w:firstLine="567"/>
            </w:pPr>
          </w:p>
        </w:tc>
        <w:tc>
          <w:tcPr>
            <w:tcW w:w="680" w:type="dxa"/>
            <w:vMerge/>
          </w:tcPr>
          <w:p w14:paraId="36953737" w14:textId="77777777" w:rsidR="00F669E7" w:rsidRPr="006C31DC" w:rsidRDefault="00F669E7" w:rsidP="004A4E82">
            <w:pPr>
              <w:pStyle w:val="Default"/>
              <w:ind w:firstLine="567"/>
            </w:pPr>
          </w:p>
        </w:tc>
        <w:tc>
          <w:tcPr>
            <w:tcW w:w="4536" w:type="dxa"/>
          </w:tcPr>
          <w:p w14:paraId="1574148C" w14:textId="77777777" w:rsidR="00F669E7" w:rsidRPr="006C31DC" w:rsidRDefault="00F669E7" w:rsidP="004A4E82">
            <w:pPr>
              <w:pStyle w:val="Default"/>
              <w:ind w:firstLine="567"/>
            </w:pPr>
            <w:r w:rsidRPr="006C31DC">
              <w:rPr>
                <w:noProof/>
                <w:lang w:val="en-US"/>
              </w:rPr>
              <w:drawing>
                <wp:inline distT="0" distB="0" distL="0" distR="0" wp14:anchorId="635D83B4" wp14:editId="2D840CD1">
                  <wp:extent cx="3200400" cy="656219"/>
                  <wp:effectExtent l="0" t="0" r="0" b="0"/>
                  <wp:docPr id="597384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2295" cy="679162"/>
                          </a:xfrm>
                          <a:prstGeom prst="rect">
                            <a:avLst/>
                          </a:prstGeom>
                          <a:noFill/>
                        </pic:spPr>
                      </pic:pic>
                    </a:graphicData>
                  </a:graphic>
                </wp:inline>
              </w:drawing>
            </w:r>
          </w:p>
        </w:tc>
        <w:tc>
          <w:tcPr>
            <w:tcW w:w="2337" w:type="dxa"/>
          </w:tcPr>
          <w:p w14:paraId="2144F0FD" w14:textId="77777777" w:rsidR="00F669E7" w:rsidRPr="006C31DC" w:rsidRDefault="00F669E7" w:rsidP="004A4E82">
            <w:pPr>
              <w:pStyle w:val="Default"/>
              <w:ind w:firstLine="567"/>
            </w:pPr>
          </w:p>
          <w:p w14:paraId="6CDDE13D" w14:textId="77777777" w:rsidR="00F669E7" w:rsidRPr="006C31DC" w:rsidRDefault="00F669E7" w:rsidP="004A4E82">
            <w:pPr>
              <w:pStyle w:val="Default"/>
              <w:ind w:firstLine="567"/>
            </w:pPr>
            <w:r w:rsidRPr="006C31DC">
              <w:t>dacă z&lt; 0</w:t>
            </w:r>
          </w:p>
        </w:tc>
      </w:tr>
    </w:tbl>
    <w:p w14:paraId="43539514" w14:textId="77777777" w:rsidR="00F669E7" w:rsidRDefault="00F669E7" w:rsidP="004A4E82">
      <w:pPr>
        <w:pStyle w:val="Default"/>
        <w:ind w:firstLine="567"/>
      </w:pPr>
    </w:p>
    <w:p w14:paraId="404488AF" w14:textId="77777777" w:rsidR="00354DDA" w:rsidRDefault="00354DDA" w:rsidP="004A4E82">
      <w:pPr>
        <w:pStyle w:val="Default"/>
        <w:ind w:firstLine="567"/>
      </w:pPr>
    </w:p>
    <w:p w14:paraId="0C65C1A6" w14:textId="77777777" w:rsidR="00354DDA" w:rsidRDefault="00354DDA" w:rsidP="004A4E82">
      <w:pPr>
        <w:pStyle w:val="Default"/>
        <w:ind w:firstLine="567"/>
      </w:pPr>
      <w:r>
        <w:t xml:space="preserve">unde: </w:t>
      </w:r>
    </w:p>
    <w:p w14:paraId="36C2B32E" w14:textId="77777777" w:rsidR="00354DDA" w:rsidRDefault="00354DDA" w:rsidP="004A4E82">
      <w:pPr>
        <w:pStyle w:val="Default"/>
        <w:ind w:firstLine="567"/>
      </w:pPr>
      <w:r>
        <w:t xml:space="preserve">Prag (floor) m = 5 %; </w:t>
      </w:r>
    </w:p>
    <w:p w14:paraId="6AA0A43B" w14:textId="3D1D2AEF" w:rsidR="00F669E7" w:rsidRPr="006C31DC" w:rsidRDefault="00F669E7" w:rsidP="004A4E82">
      <w:pPr>
        <w:pStyle w:val="CM4"/>
        <w:spacing w:before="60" w:after="60"/>
        <w:ind w:firstLine="567"/>
        <w:rPr>
          <w:color w:val="000000"/>
          <w:vertAlign w:val="superscript"/>
        </w:rPr>
      </w:pPr>
      <w:r w:rsidRPr="006C31DC">
        <w:rPr>
          <w:color w:val="000000"/>
        </w:rPr>
        <w:t>y = 2 · (1 – Prag</w:t>
      </w:r>
      <w:r w:rsidRPr="00057494">
        <w:rPr>
          <w:color w:val="000000"/>
          <w:vertAlign w:val="subscript"/>
        </w:rPr>
        <w:t>m</w:t>
      </w:r>
      <w:r w:rsidRPr="006C31DC">
        <w:rPr>
          <w:color w:val="000000"/>
        </w:rPr>
        <w:t>) · Σ a AddOn</w:t>
      </w:r>
      <w:r w:rsidRPr="006C31DC">
        <w:rPr>
          <w:color w:val="000000"/>
          <w:vertAlign w:val="superscript"/>
        </w:rPr>
        <w:t xml:space="preserve">(a) </w:t>
      </w:r>
    </w:p>
    <w:p w14:paraId="273A3E68" w14:textId="77777777" w:rsidR="00354DDA" w:rsidRDefault="00354DDA" w:rsidP="004A4E82">
      <w:pPr>
        <w:pStyle w:val="Default"/>
        <w:ind w:firstLine="567"/>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677"/>
        <w:gridCol w:w="7920"/>
      </w:tblGrid>
      <w:tr w:rsidR="00F669E7" w:rsidRPr="006C31DC" w14:paraId="4DBC6ADC" w14:textId="77777777" w:rsidTr="00CA27C5">
        <w:trPr>
          <w:trHeight w:val="381"/>
        </w:trPr>
        <w:tc>
          <w:tcPr>
            <w:tcW w:w="901" w:type="dxa"/>
            <w:vMerge w:val="restart"/>
          </w:tcPr>
          <w:p w14:paraId="5897D622" w14:textId="77777777" w:rsidR="00F669E7" w:rsidRPr="006C31DC" w:rsidRDefault="00F669E7" w:rsidP="004A4E82">
            <w:pPr>
              <w:pStyle w:val="Default"/>
              <w:ind w:firstLine="567"/>
            </w:pPr>
          </w:p>
          <w:p w14:paraId="04EEA2C3" w14:textId="77777777" w:rsidR="00F669E7" w:rsidRDefault="00F669E7" w:rsidP="004A4E82">
            <w:pPr>
              <w:pStyle w:val="Default"/>
              <w:ind w:firstLine="567"/>
            </w:pPr>
          </w:p>
          <w:p w14:paraId="265321BF" w14:textId="7BF519E0" w:rsidR="00F669E7" w:rsidRPr="006C31DC" w:rsidRDefault="00F669E7" w:rsidP="00385EFD">
            <w:pPr>
              <w:pStyle w:val="Default"/>
            </w:pPr>
            <w:r w:rsidRPr="006C31DC">
              <w:t>z =</w:t>
            </w:r>
          </w:p>
        </w:tc>
        <w:tc>
          <w:tcPr>
            <w:tcW w:w="677" w:type="dxa"/>
            <w:vMerge w:val="restart"/>
          </w:tcPr>
          <w:p w14:paraId="5E427254" w14:textId="77777777" w:rsidR="00F669E7" w:rsidRPr="006C31DC" w:rsidRDefault="00F669E7" w:rsidP="004A4E82">
            <w:pPr>
              <w:pStyle w:val="Default"/>
              <w:ind w:firstLine="567"/>
              <w:rPr>
                <w:sz w:val="96"/>
                <w:szCs w:val="96"/>
              </w:rPr>
            </w:pPr>
            <w:r w:rsidRPr="006C31DC">
              <w:rPr>
                <w:sz w:val="96"/>
                <w:szCs w:val="96"/>
              </w:rPr>
              <w:t>{</w:t>
            </w:r>
          </w:p>
        </w:tc>
        <w:tc>
          <w:tcPr>
            <w:tcW w:w="7920" w:type="dxa"/>
            <w:shd w:val="clear" w:color="auto" w:fill="auto"/>
          </w:tcPr>
          <w:p w14:paraId="3628E778" w14:textId="77777777" w:rsidR="00F669E7" w:rsidRPr="00B4215C" w:rsidRDefault="00F669E7" w:rsidP="004A4E82">
            <w:pPr>
              <w:pStyle w:val="Default"/>
              <w:ind w:firstLine="567"/>
              <w:rPr>
                <w:sz w:val="22"/>
                <w:szCs w:val="22"/>
              </w:rPr>
            </w:pPr>
          </w:p>
          <w:p w14:paraId="18249031" w14:textId="2B32B289" w:rsidR="00F669E7" w:rsidRPr="00B4215C" w:rsidRDefault="00F669E7" w:rsidP="004A4E82">
            <w:pPr>
              <w:pStyle w:val="Default"/>
              <w:ind w:firstLine="567"/>
              <w:rPr>
                <w:sz w:val="22"/>
                <w:szCs w:val="22"/>
              </w:rPr>
            </w:pPr>
            <w:r w:rsidRPr="00B4215C">
              <w:rPr>
                <w:sz w:val="22"/>
                <w:szCs w:val="22"/>
              </w:rPr>
              <w:t>CMV – NICA pentru seturile de compensare menţionate la punctul 3</w:t>
            </w:r>
            <w:r w:rsidR="00B4215C" w:rsidRPr="00B4215C">
              <w:rPr>
                <w:sz w:val="22"/>
                <w:szCs w:val="22"/>
              </w:rPr>
              <w:t>8</w:t>
            </w:r>
          </w:p>
        </w:tc>
      </w:tr>
      <w:tr w:rsidR="00F669E7" w:rsidRPr="006C31DC" w14:paraId="76E36169" w14:textId="77777777" w:rsidTr="00CA27C5">
        <w:trPr>
          <w:trHeight w:val="101"/>
        </w:trPr>
        <w:tc>
          <w:tcPr>
            <w:tcW w:w="901" w:type="dxa"/>
            <w:vMerge/>
          </w:tcPr>
          <w:p w14:paraId="505C6990" w14:textId="77777777" w:rsidR="00F669E7" w:rsidRPr="006C31DC" w:rsidRDefault="00F669E7" w:rsidP="004A4E82">
            <w:pPr>
              <w:pStyle w:val="Default"/>
              <w:ind w:firstLine="567"/>
            </w:pPr>
          </w:p>
        </w:tc>
        <w:tc>
          <w:tcPr>
            <w:tcW w:w="677" w:type="dxa"/>
            <w:vMerge/>
          </w:tcPr>
          <w:p w14:paraId="044AABE2" w14:textId="77777777" w:rsidR="00F669E7" w:rsidRPr="006C31DC" w:rsidRDefault="00F669E7" w:rsidP="004A4E82">
            <w:pPr>
              <w:pStyle w:val="Default"/>
              <w:ind w:firstLine="567"/>
            </w:pPr>
          </w:p>
        </w:tc>
        <w:tc>
          <w:tcPr>
            <w:tcW w:w="7920" w:type="dxa"/>
            <w:shd w:val="clear" w:color="auto" w:fill="auto"/>
          </w:tcPr>
          <w:p w14:paraId="3FB0A62A" w14:textId="0D48A8D6" w:rsidR="00F669E7" w:rsidRPr="00B4215C" w:rsidRDefault="00F669E7" w:rsidP="004A4E82">
            <w:pPr>
              <w:pStyle w:val="Default"/>
              <w:ind w:firstLine="567"/>
              <w:rPr>
                <w:sz w:val="22"/>
                <w:szCs w:val="22"/>
              </w:rPr>
            </w:pPr>
            <w:r w:rsidRPr="00B4215C">
              <w:rPr>
                <w:sz w:val="22"/>
                <w:szCs w:val="22"/>
              </w:rPr>
              <w:t>CMV – VM – NICA pentru seturile de compensare menţionate la punctul 3</w:t>
            </w:r>
            <w:r w:rsidR="00B4215C" w:rsidRPr="00B4215C">
              <w:rPr>
                <w:sz w:val="22"/>
                <w:szCs w:val="22"/>
              </w:rPr>
              <w:t>9</w:t>
            </w:r>
          </w:p>
        </w:tc>
      </w:tr>
      <w:tr w:rsidR="00F669E7" w:rsidRPr="006C31DC" w14:paraId="3B3A9DCF" w14:textId="77777777" w:rsidTr="00CA27C5">
        <w:trPr>
          <w:trHeight w:val="101"/>
        </w:trPr>
        <w:tc>
          <w:tcPr>
            <w:tcW w:w="901" w:type="dxa"/>
            <w:vMerge/>
          </w:tcPr>
          <w:p w14:paraId="0C1CF647" w14:textId="77777777" w:rsidR="00F669E7" w:rsidRPr="006C31DC" w:rsidRDefault="00F669E7" w:rsidP="004A4E82">
            <w:pPr>
              <w:pStyle w:val="Default"/>
              <w:ind w:firstLine="567"/>
            </w:pPr>
          </w:p>
        </w:tc>
        <w:tc>
          <w:tcPr>
            <w:tcW w:w="677" w:type="dxa"/>
            <w:vMerge/>
          </w:tcPr>
          <w:p w14:paraId="4E20C275" w14:textId="77777777" w:rsidR="00F669E7" w:rsidRPr="006C31DC" w:rsidRDefault="00F669E7" w:rsidP="004A4E82">
            <w:pPr>
              <w:pStyle w:val="Default"/>
              <w:ind w:firstLine="567"/>
            </w:pPr>
          </w:p>
        </w:tc>
        <w:tc>
          <w:tcPr>
            <w:tcW w:w="7920" w:type="dxa"/>
            <w:shd w:val="clear" w:color="auto" w:fill="auto"/>
          </w:tcPr>
          <w:p w14:paraId="59D0D2FA" w14:textId="61E4C4ED" w:rsidR="00F669E7" w:rsidRPr="00B4215C" w:rsidRDefault="00F669E7" w:rsidP="004A4E82">
            <w:pPr>
              <w:pStyle w:val="Default"/>
              <w:ind w:firstLine="567"/>
              <w:rPr>
                <w:sz w:val="22"/>
                <w:szCs w:val="22"/>
              </w:rPr>
            </w:pPr>
            <w:r w:rsidRPr="00B4215C">
              <w:rPr>
                <w:sz w:val="22"/>
                <w:szCs w:val="22"/>
              </w:rPr>
              <w:t xml:space="preserve">CMVi – NICAi pentru seturile de compensare menţionate la punctul </w:t>
            </w:r>
            <w:r w:rsidR="00B4215C" w:rsidRPr="00B4215C">
              <w:rPr>
                <w:sz w:val="22"/>
                <w:szCs w:val="22"/>
              </w:rPr>
              <w:t>40</w:t>
            </w:r>
          </w:p>
        </w:tc>
      </w:tr>
    </w:tbl>
    <w:p w14:paraId="0078F600" w14:textId="77777777" w:rsidR="00354DDA" w:rsidRPr="00CA27C5" w:rsidRDefault="00354DDA" w:rsidP="004A4E82">
      <w:pPr>
        <w:pStyle w:val="Default"/>
        <w:ind w:firstLine="567"/>
        <w:rPr>
          <w:lang w:val="en-US"/>
        </w:rPr>
      </w:pPr>
    </w:p>
    <w:p w14:paraId="2D90DF19" w14:textId="19564384" w:rsidR="00354DDA" w:rsidRDefault="00354DDA" w:rsidP="004A4E82">
      <w:pPr>
        <w:pStyle w:val="Default"/>
        <w:ind w:firstLine="567"/>
        <w:jc w:val="both"/>
      </w:pPr>
      <w:r>
        <w:t xml:space="preserve">NICAi = suma independentă netă a garanţiilor reale calculată numai pentru tranzacţiile incluse în setul de compensare i. NICAi se calculează la nivel de tranzacţie sau la nivel de set de compensare, în funcţie de contractul în marjă. </w:t>
      </w:r>
    </w:p>
    <w:p w14:paraId="7FF4FE6E" w14:textId="73F662F6" w:rsidR="00F669E7" w:rsidRDefault="00F669E7"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7</w:t>
      </w:r>
      <w:r w:rsidR="0099409E">
        <w:rPr>
          <w:i/>
          <w:iCs/>
          <w:color w:val="000000"/>
        </w:rPr>
        <w:t>-a</w:t>
      </w:r>
    </w:p>
    <w:p w14:paraId="7F2FEC2F" w14:textId="77777777" w:rsidR="00354DDA" w:rsidRPr="00CA27C5" w:rsidRDefault="00354DDA" w:rsidP="004A4E82">
      <w:pPr>
        <w:pStyle w:val="Default"/>
        <w:ind w:firstLine="567"/>
        <w:jc w:val="center"/>
        <w:rPr>
          <w:b/>
          <w:bCs/>
        </w:rPr>
      </w:pPr>
      <w:r w:rsidRPr="00CA27C5">
        <w:rPr>
          <w:b/>
          <w:bCs/>
        </w:rPr>
        <w:t>Calculul poziţiei de risc</w:t>
      </w:r>
    </w:p>
    <w:p w14:paraId="6C84C7E0" w14:textId="4F4E6FBC" w:rsidR="00354DDA" w:rsidRDefault="008551AC" w:rsidP="004A4E82">
      <w:pPr>
        <w:pStyle w:val="Default"/>
        <w:ind w:firstLine="567"/>
        <w:jc w:val="both"/>
      </w:pPr>
      <w:r>
        <w:rPr>
          <w:b/>
          <w:bCs/>
        </w:rPr>
        <w:t>5</w:t>
      </w:r>
      <w:r w:rsidR="00EA3FDE">
        <w:rPr>
          <w:b/>
          <w:bCs/>
        </w:rPr>
        <w:t>4</w:t>
      </w:r>
      <w:r w:rsidR="00F669E7" w:rsidRPr="00CA27C5">
        <w:rPr>
          <w:b/>
          <w:bCs/>
        </w:rPr>
        <w:t>.</w:t>
      </w:r>
      <w:r w:rsidR="00F669E7">
        <w:t xml:space="preserve"> </w:t>
      </w:r>
      <w:r w:rsidR="00354DDA">
        <w:t xml:space="preserve">Pentru calcularea majorărilor aferente categoriilor de risc menţionate la </w:t>
      </w:r>
      <w:r w:rsidR="00B4215C" w:rsidRPr="00B4215C">
        <w:t>punctele 63-83</w:t>
      </w:r>
      <w:r w:rsidR="00354DDA">
        <w:t xml:space="preserve">, </w:t>
      </w:r>
      <w:r w:rsidR="00B4215C">
        <w:t xml:space="preserve">băncile </w:t>
      </w:r>
      <w:r w:rsidR="00354DDA">
        <w:t xml:space="preserve">calculează poziţia de risc (RiskPosition) a fiecărei tranzacţii dintr-un set de compensare după cum urmează: </w:t>
      </w:r>
    </w:p>
    <w:p w14:paraId="3CF4BF81" w14:textId="77777777" w:rsidR="00354DDA" w:rsidRDefault="00354DDA" w:rsidP="004A4E82">
      <w:pPr>
        <w:pStyle w:val="Default"/>
        <w:ind w:firstLine="567"/>
        <w:jc w:val="center"/>
      </w:pPr>
      <w:r>
        <w:lastRenderedPageBreak/>
        <w:t>Poziţia de risc = δ · AdjNot · MF</w:t>
      </w:r>
    </w:p>
    <w:p w14:paraId="14639DB2" w14:textId="77777777" w:rsidR="00354DDA" w:rsidRDefault="00354DDA" w:rsidP="004A4E82">
      <w:pPr>
        <w:pStyle w:val="Default"/>
        <w:ind w:firstLine="567"/>
      </w:pPr>
      <w:r>
        <w:t xml:space="preserve">unde: </w:t>
      </w:r>
    </w:p>
    <w:p w14:paraId="4CA5635F" w14:textId="306E7FDB" w:rsidR="00354DDA" w:rsidRDefault="00354DDA" w:rsidP="004A4E82">
      <w:pPr>
        <w:pStyle w:val="Default"/>
        <w:ind w:firstLine="567"/>
      </w:pPr>
      <w:r>
        <w:t xml:space="preserve">δ = delta reglementat al tranzacţiei, calculat în conformitate cu formula prevăzută la </w:t>
      </w:r>
      <w:r w:rsidR="00F669E7" w:rsidRPr="00B4215C">
        <w:t>punct</w:t>
      </w:r>
      <w:r w:rsidR="00960A49">
        <w:t>ele</w:t>
      </w:r>
      <w:r w:rsidR="00F669E7" w:rsidRPr="00B4215C">
        <w:t xml:space="preserve"> </w:t>
      </w:r>
      <w:r w:rsidR="00B4215C">
        <w:t>55 și 56</w:t>
      </w:r>
      <w:r>
        <w:t xml:space="preserve">; </w:t>
      </w:r>
    </w:p>
    <w:p w14:paraId="7FE205B4" w14:textId="229F0B56" w:rsidR="00354DDA" w:rsidRDefault="00354DDA" w:rsidP="004A4E82">
      <w:pPr>
        <w:pStyle w:val="Default"/>
        <w:ind w:firstLine="567"/>
      </w:pPr>
      <w:r>
        <w:t xml:space="preserve">AdjNot = valoarea noţională ajustată a tranzacţiei, calculată în conformitate cu </w:t>
      </w:r>
      <w:r w:rsidR="00B4215C">
        <w:t>punctele 57-59</w:t>
      </w:r>
      <w:r>
        <w:t xml:space="preserve">; și </w:t>
      </w:r>
    </w:p>
    <w:p w14:paraId="1D01D490" w14:textId="523616F0" w:rsidR="00354DDA" w:rsidRDefault="00354DDA" w:rsidP="004A4E82">
      <w:pPr>
        <w:pStyle w:val="Default"/>
        <w:ind w:firstLine="567"/>
      </w:pPr>
      <w:r>
        <w:t xml:space="preserve">MF = factorul de ajustare în funcţie de scadenţă al tranzacţiei, calculat în conformitate cu formula prevăzută la </w:t>
      </w:r>
      <w:r w:rsidR="00B4215C">
        <w:t>punctele 60 și 61</w:t>
      </w:r>
      <w:r>
        <w:t xml:space="preserve">. </w:t>
      </w:r>
    </w:p>
    <w:p w14:paraId="081DA969" w14:textId="15C3C8E0" w:rsidR="00F669E7" w:rsidRDefault="00F669E7"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8</w:t>
      </w:r>
      <w:r w:rsidR="0099409E">
        <w:rPr>
          <w:i/>
          <w:iCs/>
          <w:color w:val="000000"/>
        </w:rPr>
        <w:t>-a</w:t>
      </w:r>
      <w:r>
        <w:rPr>
          <w:i/>
          <w:iCs/>
          <w:color w:val="000000"/>
        </w:rPr>
        <w:t xml:space="preserve"> </w:t>
      </w:r>
    </w:p>
    <w:p w14:paraId="58CBD9AD" w14:textId="77777777" w:rsidR="00354DDA" w:rsidRPr="00CA27C5" w:rsidRDefault="00354DDA" w:rsidP="004A4E82">
      <w:pPr>
        <w:pStyle w:val="Default"/>
        <w:ind w:firstLine="567"/>
        <w:jc w:val="center"/>
        <w:rPr>
          <w:b/>
          <w:bCs/>
        </w:rPr>
      </w:pPr>
      <w:r w:rsidRPr="00CA27C5">
        <w:rPr>
          <w:b/>
          <w:bCs/>
        </w:rPr>
        <w:t>Delta reglementat</w:t>
      </w:r>
    </w:p>
    <w:p w14:paraId="1F6A9B8A" w14:textId="02744FB4" w:rsidR="00354DDA" w:rsidRDefault="008551AC" w:rsidP="004A4E82">
      <w:pPr>
        <w:pStyle w:val="Default"/>
        <w:ind w:firstLine="567"/>
      </w:pPr>
      <w:r>
        <w:rPr>
          <w:b/>
          <w:bCs/>
        </w:rPr>
        <w:t>5</w:t>
      </w:r>
      <w:r w:rsidR="00EA3FDE">
        <w:rPr>
          <w:b/>
          <w:bCs/>
        </w:rPr>
        <w:t>5</w:t>
      </w:r>
      <w:r w:rsidR="00F669E7" w:rsidRPr="00CA27C5">
        <w:rPr>
          <w:b/>
          <w:bCs/>
        </w:rPr>
        <w:t>.</w:t>
      </w:r>
      <w:r w:rsidR="00354DDA">
        <w:t xml:space="preserve"> </w:t>
      </w:r>
      <w:r w:rsidR="00F669E7">
        <w:t>Băncile</w:t>
      </w:r>
      <w:r w:rsidR="00354DDA">
        <w:t xml:space="preserve"> calculează delta reglementat după cum urmează: </w:t>
      </w:r>
    </w:p>
    <w:p w14:paraId="57DDC0DE" w14:textId="2FF48A4B" w:rsidR="00354DDA" w:rsidRDefault="006903FB" w:rsidP="004A4E82">
      <w:pPr>
        <w:pStyle w:val="Default"/>
        <w:ind w:firstLine="567"/>
        <w:jc w:val="both"/>
      </w:pPr>
      <w:r>
        <w:t>1</w:t>
      </w:r>
      <w:r w:rsidR="00354DDA">
        <w:t xml:space="preserve">) în cazul opţiunilor call și put care îi dau dreptul cumpărătorului să cumpere sau să vândă un instrument-suport la un preţ pozitiv la o dată unică sau la multiple date din viitor, cu excepţia cazului în care aceste opţiuni sunt încadrate în categoria de risc de rată a dobânzii, </w:t>
      </w:r>
      <w:r w:rsidR="00F669E7">
        <w:t>băncile</w:t>
      </w:r>
      <w:r w:rsidR="00354DDA">
        <w:t xml:space="preserve"> utilizează următoarea formulă: </w:t>
      </w:r>
    </w:p>
    <w:p w14:paraId="713CE647" w14:textId="337B1D2D" w:rsidR="00354DDA" w:rsidRDefault="00F669E7" w:rsidP="004A4E82">
      <w:pPr>
        <w:pStyle w:val="Default"/>
        <w:ind w:firstLine="567"/>
        <w:jc w:val="center"/>
      </w:pPr>
      <w:r>
        <w:rPr>
          <w:noProof/>
          <w:lang w:val="en-US"/>
        </w:rPr>
        <w:drawing>
          <wp:inline distT="0" distB="0" distL="0" distR="0" wp14:anchorId="0E16E241" wp14:editId="1EF286BF">
            <wp:extent cx="2863970" cy="436234"/>
            <wp:effectExtent l="0" t="0" r="0" b="2540"/>
            <wp:docPr id="727160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0663" cy="443346"/>
                    </a:xfrm>
                    <a:prstGeom prst="rect">
                      <a:avLst/>
                    </a:prstGeom>
                    <a:noFill/>
                  </pic:spPr>
                </pic:pic>
              </a:graphicData>
            </a:graphic>
          </wp:inline>
        </w:drawing>
      </w:r>
    </w:p>
    <w:p w14:paraId="485B25A2" w14:textId="77777777" w:rsidR="00354DDA" w:rsidRDefault="00354DDA" w:rsidP="004A4E82">
      <w:pPr>
        <w:pStyle w:val="Default"/>
        <w:ind w:firstLine="567"/>
      </w:pPr>
      <w:r>
        <w:t xml:space="preserve">unde: </w:t>
      </w:r>
    </w:p>
    <w:p w14:paraId="6BBF8ACB" w14:textId="77777777" w:rsidR="00354DDA" w:rsidRDefault="00354DDA" w:rsidP="004A4E82">
      <w:pPr>
        <w:pStyle w:val="Default"/>
        <w:ind w:firstLine="567"/>
      </w:pPr>
      <w:r>
        <w:t xml:space="preserve">δ = delta reglementat </w:t>
      </w:r>
    </w:p>
    <w:p w14:paraId="2E3C90DF" w14:textId="77777777" w:rsidR="00354DDA" w:rsidRDefault="00354DDA" w:rsidP="004A4E82">
      <w:pPr>
        <w:pStyle w:val="Default"/>
        <w:ind w:firstLine="567"/>
      </w:pPr>
      <w:r>
        <w:t xml:space="preserve">semn (sign) = – 1 dacă tranzacţia este o opţiune call vândută sau o opţiune put cumpărată; </w:t>
      </w:r>
    </w:p>
    <w:p w14:paraId="648E900E" w14:textId="77777777" w:rsidR="00354DDA" w:rsidRDefault="00354DDA" w:rsidP="004A4E82">
      <w:pPr>
        <w:pStyle w:val="Default"/>
        <w:ind w:firstLine="567"/>
      </w:pPr>
      <w:r>
        <w:t xml:space="preserve">semn (sign) = + 1 dacă tranzacţia este o opţiune call cumpărată sau o opţiune put vândută; </w:t>
      </w:r>
    </w:p>
    <w:p w14:paraId="4C394925" w14:textId="77777777" w:rsidR="00354DDA" w:rsidRDefault="00354DDA" w:rsidP="004A4E82">
      <w:pPr>
        <w:pStyle w:val="Default"/>
        <w:ind w:firstLine="567"/>
      </w:pPr>
      <w:r>
        <w:t xml:space="preserve">tip (type) = – 1 dacă tranzacţia este o opţiune put; </w:t>
      </w:r>
    </w:p>
    <w:p w14:paraId="4CB7E509" w14:textId="77777777" w:rsidR="00354DDA" w:rsidRDefault="00354DDA" w:rsidP="004A4E82">
      <w:pPr>
        <w:pStyle w:val="Default"/>
        <w:ind w:firstLine="567"/>
      </w:pPr>
      <w:r>
        <w:t xml:space="preserve">tip (type) = + 1 dacă tranzacţia este o opţiune call; </w:t>
      </w:r>
    </w:p>
    <w:p w14:paraId="45DA66E2" w14:textId="77777777" w:rsidR="00354DDA" w:rsidRDefault="00354DDA" w:rsidP="004A4E82">
      <w:pPr>
        <w:pStyle w:val="Default"/>
        <w:ind w:firstLine="567"/>
      </w:pPr>
      <w:r>
        <w:t xml:space="preserve">N(x) = funcţia de distribuţie cumulativă pentru o variabilă aleatorie normală standard, care exprimă probabilitatea ca o variabilă aleatorie normal distribuită, cu media zero și varianţa 1, să fie mai mică sau egală cu x; </w:t>
      </w:r>
    </w:p>
    <w:p w14:paraId="66A9B30E" w14:textId="77777777" w:rsidR="00354DDA" w:rsidRDefault="00354DDA" w:rsidP="004A4E82">
      <w:pPr>
        <w:pStyle w:val="Default"/>
        <w:ind w:firstLine="567"/>
        <w:jc w:val="both"/>
      </w:pPr>
      <w:r>
        <w:t xml:space="preserve">P = preţul la vedere sau la termen al instrumentului- suport al opţiunii; pentru opţiuni ale căror fluxuri de numerar depind de o valoare medie a preţului instrumentului-suport, P este egal cu valoarea medie la data calculului; </w:t>
      </w:r>
    </w:p>
    <w:p w14:paraId="174720D1" w14:textId="08ADA061" w:rsidR="00354DDA" w:rsidRDefault="00354DDA" w:rsidP="004A4E82">
      <w:pPr>
        <w:pStyle w:val="Default"/>
        <w:ind w:firstLine="567"/>
        <w:jc w:val="both"/>
      </w:pPr>
      <w:r>
        <w:t xml:space="preserve">K = preţul de exercitare a opţiunii; </w:t>
      </w:r>
    </w:p>
    <w:p w14:paraId="1EC2A7A7" w14:textId="427CEAF0" w:rsidR="00354DDA" w:rsidRDefault="00354DDA" w:rsidP="004A4E82">
      <w:pPr>
        <w:pStyle w:val="Default"/>
        <w:ind w:firstLine="567"/>
        <w:jc w:val="both"/>
      </w:pPr>
      <w:r>
        <w:t xml:space="preserve">T = perioada cuprinsă între data expirării opţiunii (T exp ) și data raportării; pentru opţiuni care pot fi exercitate numai la o dată viitoare, T exp este egală cu data respectivă; pentru opţiuni care pot fi exercitate la multiple date viitoare, T exp este egală cu ultima dintre datele respective; T se exprimă în ani, utilizând convenţia privind zilele lucrătoare relevantă; și </w:t>
      </w:r>
    </w:p>
    <w:p w14:paraId="2CA66E36" w14:textId="4756DA81" w:rsidR="00354DDA" w:rsidRDefault="00354DDA" w:rsidP="004A4E82">
      <w:pPr>
        <w:pStyle w:val="Default"/>
        <w:ind w:firstLine="567"/>
        <w:jc w:val="both"/>
      </w:pPr>
      <w:r>
        <w:t xml:space="preserve">σ = volatilitatea reglementată a opţiunii, determinată în conformitate cu tabelul 1 în funcţie de categoria de risc a tranzacţiei și de natura instrumentului-suport al opţiunii. </w:t>
      </w:r>
    </w:p>
    <w:p w14:paraId="07DEDE78" w14:textId="77777777" w:rsidR="00354DDA" w:rsidRDefault="00354DDA" w:rsidP="004A4E82">
      <w:pPr>
        <w:pStyle w:val="Default"/>
        <w:ind w:firstLine="567"/>
        <w:jc w:val="right"/>
        <w:rPr>
          <w:i/>
          <w:iCs/>
        </w:rPr>
      </w:pPr>
      <w:r w:rsidRPr="00CA27C5">
        <w:rPr>
          <w:i/>
          <w:iCs/>
        </w:rPr>
        <w:t>Tabelul 1</w:t>
      </w:r>
    </w:p>
    <w:p w14:paraId="192A99E0" w14:textId="77777777" w:rsidR="00662D70" w:rsidRPr="00CA27C5" w:rsidRDefault="00662D70" w:rsidP="004A4E82">
      <w:pPr>
        <w:pStyle w:val="Default"/>
        <w:ind w:firstLine="567"/>
        <w:jc w:val="right"/>
        <w:rPr>
          <w:i/>
          <w:iCs/>
        </w:rPr>
      </w:pPr>
    </w:p>
    <w:tbl>
      <w:tblPr>
        <w:tblW w:w="903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906"/>
        <w:gridCol w:w="5599"/>
        <w:gridCol w:w="1525"/>
      </w:tblGrid>
      <w:tr w:rsidR="00662D70" w:rsidRPr="004A0C00" w14:paraId="189B6944" w14:textId="77777777" w:rsidTr="000642F1">
        <w:trPr>
          <w:trHeight w:val="441"/>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0E1FE" w14:textId="77777777" w:rsidR="00662D70" w:rsidRPr="00937974" w:rsidRDefault="00662D70" w:rsidP="00937974">
            <w:pPr>
              <w:spacing w:before="60" w:after="60" w:line="312" w:lineRule="atLeast"/>
              <w:jc w:val="center"/>
              <w:rPr>
                <w:rFonts w:ascii="Times New Roman" w:eastAsia="Times New Roman" w:hAnsi="Times New Roman" w:cs="Times New Roman"/>
                <w:b/>
                <w:bCs/>
                <w:color w:val="333333"/>
                <w:sz w:val="24"/>
                <w:szCs w:val="24"/>
                <w:lang w:eastAsia="ro-MD"/>
              </w:rPr>
            </w:pPr>
            <w:r w:rsidRPr="00937974">
              <w:rPr>
                <w:rFonts w:ascii="Times New Roman" w:eastAsia="Times New Roman" w:hAnsi="Times New Roman" w:cs="Times New Roman"/>
                <w:b/>
                <w:bCs/>
                <w:color w:val="333333"/>
                <w:sz w:val="24"/>
                <w:szCs w:val="24"/>
                <w:lang w:eastAsia="ro-MD"/>
              </w:rPr>
              <w:t>Categorie de risc</w:t>
            </w: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659AB7D2" w14:textId="77777777" w:rsidR="00662D70" w:rsidRPr="00937974" w:rsidRDefault="00662D70" w:rsidP="004A4E82">
            <w:pPr>
              <w:spacing w:before="60" w:after="60" w:line="312" w:lineRule="atLeast"/>
              <w:ind w:firstLine="567"/>
              <w:jc w:val="center"/>
              <w:rPr>
                <w:rFonts w:ascii="Times New Roman" w:eastAsia="Times New Roman" w:hAnsi="Times New Roman" w:cs="Times New Roman"/>
                <w:b/>
                <w:bCs/>
                <w:color w:val="333333"/>
                <w:sz w:val="24"/>
                <w:szCs w:val="24"/>
                <w:lang w:eastAsia="ro-MD"/>
              </w:rPr>
            </w:pPr>
            <w:r w:rsidRPr="00937974">
              <w:rPr>
                <w:rFonts w:ascii="Times New Roman" w:eastAsia="Times New Roman" w:hAnsi="Times New Roman" w:cs="Times New Roman"/>
                <w:b/>
                <w:bCs/>
                <w:color w:val="333333"/>
                <w:sz w:val="24"/>
                <w:szCs w:val="24"/>
                <w:lang w:eastAsia="ro-MD"/>
              </w:rPr>
              <w:t>Instrumentul-suport</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7B8AD85D" w14:textId="77777777" w:rsidR="00662D70" w:rsidRPr="00937974" w:rsidRDefault="00662D70" w:rsidP="00937974">
            <w:pPr>
              <w:spacing w:before="60" w:after="60" w:line="312" w:lineRule="atLeast"/>
              <w:jc w:val="center"/>
              <w:rPr>
                <w:rFonts w:ascii="Times New Roman" w:eastAsia="Times New Roman" w:hAnsi="Times New Roman" w:cs="Times New Roman"/>
                <w:b/>
                <w:bCs/>
                <w:color w:val="333333"/>
                <w:sz w:val="24"/>
                <w:szCs w:val="24"/>
                <w:lang w:eastAsia="ro-MD"/>
              </w:rPr>
            </w:pPr>
            <w:r w:rsidRPr="00937974">
              <w:rPr>
                <w:rFonts w:ascii="Times New Roman" w:eastAsia="Times New Roman" w:hAnsi="Times New Roman" w:cs="Times New Roman"/>
                <w:b/>
                <w:bCs/>
                <w:color w:val="333333"/>
                <w:sz w:val="24"/>
                <w:szCs w:val="24"/>
                <w:lang w:eastAsia="ro-MD"/>
              </w:rPr>
              <w:t>Volatilitatea reglementată</w:t>
            </w:r>
          </w:p>
        </w:tc>
      </w:tr>
      <w:tr w:rsidR="00662D70" w:rsidRPr="004A0C00" w14:paraId="64D94C85" w14:textId="77777777" w:rsidTr="000642F1">
        <w:trPr>
          <w:trHeight w:val="454"/>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20463"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Schimb valutar</w:t>
            </w: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3D0F03A9"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Toate</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040C3EFE"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15 %</w:t>
            </w:r>
          </w:p>
        </w:tc>
      </w:tr>
      <w:tr w:rsidR="00662D70" w:rsidRPr="004A0C00" w14:paraId="6FAAA4D7" w14:textId="77777777" w:rsidTr="000642F1">
        <w:trPr>
          <w:trHeight w:val="468"/>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F5977A2"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Credit</w:t>
            </w: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264F8295"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Instrument având la bază o singură semnătură</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53514400"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100 %</w:t>
            </w:r>
          </w:p>
        </w:tc>
      </w:tr>
      <w:tr w:rsidR="00662D70" w:rsidRPr="004A0C00" w14:paraId="192C57E7" w14:textId="77777777" w:rsidTr="000642F1">
        <w:trPr>
          <w:trHeight w:val="14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2BB14" w14:textId="77777777" w:rsidR="00662D70" w:rsidRPr="004A0C00" w:rsidRDefault="00662D70" w:rsidP="00937974">
            <w:pPr>
              <w:spacing w:after="0" w:line="240" w:lineRule="auto"/>
              <w:jc w:val="center"/>
              <w:rPr>
                <w:rFonts w:ascii="Times New Roman" w:eastAsia="Times New Roman" w:hAnsi="Times New Roman" w:cs="Times New Roman"/>
                <w:color w:val="333333"/>
                <w:sz w:val="24"/>
                <w:szCs w:val="24"/>
                <w:lang w:eastAsia="ro-MD"/>
              </w:rPr>
            </w:pP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324FA231"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Instrument având la bază mai multe semnături</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340E06EC"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80 %</w:t>
            </w:r>
          </w:p>
        </w:tc>
      </w:tr>
      <w:tr w:rsidR="00662D70" w:rsidRPr="004A0C00" w14:paraId="14A947CE" w14:textId="77777777" w:rsidTr="000642F1">
        <w:trPr>
          <w:trHeight w:val="482"/>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534F1AD"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lastRenderedPageBreak/>
              <w:t>Titluri de capital</w:t>
            </w: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6B28573E"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Instrument având la bază o singură semnătură</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05A7E282"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120 %</w:t>
            </w:r>
          </w:p>
        </w:tc>
      </w:tr>
      <w:tr w:rsidR="00662D70" w:rsidRPr="004A0C00" w14:paraId="1BBEFD3A" w14:textId="77777777" w:rsidTr="000642F1">
        <w:trPr>
          <w:trHeight w:val="14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34749D" w14:textId="77777777" w:rsidR="00662D70" w:rsidRPr="004A0C00" w:rsidRDefault="00662D70" w:rsidP="00937974">
            <w:pPr>
              <w:spacing w:after="0" w:line="240" w:lineRule="auto"/>
              <w:jc w:val="center"/>
              <w:rPr>
                <w:rFonts w:ascii="Times New Roman" w:eastAsia="Times New Roman" w:hAnsi="Times New Roman" w:cs="Times New Roman"/>
                <w:color w:val="333333"/>
                <w:sz w:val="24"/>
                <w:szCs w:val="24"/>
                <w:lang w:eastAsia="ro-MD"/>
              </w:rPr>
            </w:pP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206A8F84"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Instrument având la bază mai multe semnături</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331084AF"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75 %</w:t>
            </w:r>
          </w:p>
        </w:tc>
      </w:tr>
      <w:tr w:rsidR="00662D70" w:rsidRPr="004A0C00" w14:paraId="3012980E" w14:textId="77777777" w:rsidTr="000642F1">
        <w:trPr>
          <w:trHeight w:val="468"/>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0550C6"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Marfă</w:t>
            </w: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2BF85FF9"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Energie electrică</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72869517"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150 %</w:t>
            </w:r>
          </w:p>
        </w:tc>
      </w:tr>
      <w:tr w:rsidR="00662D70" w:rsidRPr="004A0C00" w14:paraId="0B3C19CA" w14:textId="77777777" w:rsidTr="000642F1">
        <w:trPr>
          <w:trHeight w:val="14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601EEF" w14:textId="77777777" w:rsidR="00662D70" w:rsidRPr="004A0C00" w:rsidRDefault="00662D70" w:rsidP="00937974">
            <w:pPr>
              <w:spacing w:after="0" w:line="240" w:lineRule="auto"/>
              <w:jc w:val="center"/>
              <w:rPr>
                <w:rFonts w:ascii="Times New Roman" w:eastAsia="Times New Roman" w:hAnsi="Times New Roman" w:cs="Times New Roman"/>
                <w:color w:val="333333"/>
                <w:sz w:val="24"/>
                <w:szCs w:val="24"/>
                <w:lang w:eastAsia="ro-MD"/>
              </w:rPr>
            </w:pP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068FAC77"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Alte mărfuri (mai puțin energia electrică)</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50D80B73"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70 %</w:t>
            </w:r>
          </w:p>
        </w:tc>
      </w:tr>
      <w:tr w:rsidR="00662D70" w:rsidRPr="004A0C00" w14:paraId="74C6C226" w14:textId="77777777" w:rsidTr="000642F1">
        <w:trPr>
          <w:trHeight w:val="441"/>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61A26"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Altele</w:t>
            </w:r>
          </w:p>
        </w:tc>
        <w:tc>
          <w:tcPr>
            <w:tcW w:w="5599" w:type="dxa"/>
            <w:tcBorders>
              <w:top w:val="outset" w:sz="6" w:space="0" w:color="auto"/>
              <w:left w:val="outset" w:sz="6" w:space="0" w:color="auto"/>
              <w:bottom w:val="outset" w:sz="6" w:space="0" w:color="auto"/>
              <w:right w:val="outset" w:sz="6" w:space="0" w:color="auto"/>
            </w:tcBorders>
            <w:shd w:val="clear" w:color="auto" w:fill="FFFFFF"/>
            <w:hideMark/>
          </w:tcPr>
          <w:p w14:paraId="3415ED63" w14:textId="77777777" w:rsidR="00662D70" w:rsidRPr="004A0C00" w:rsidRDefault="00662D70" w:rsidP="00937974">
            <w:pPr>
              <w:spacing w:before="60" w:after="60" w:line="312" w:lineRule="atLeast"/>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Toate</w:t>
            </w:r>
          </w:p>
        </w:tc>
        <w:tc>
          <w:tcPr>
            <w:tcW w:w="1525" w:type="dxa"/>
            <w:tcBorders>
              <w:top w:val="outset" w:sz="6" w:space="0" w:color="auto"/>
              <w:left w:val="outset" w:sz="6" w:space="0" w:color="auto"/>
              <w:bottom w:val="outset" w:sz="6" w:space="0" w:color="auto"/>
              <w:right w:val="outset" w:sz="6" w:space="0" w:color="auto"/>
            </w:tcBorders>
            <w:shd w:val="clear" w:color="auto" w:fill="FFFFFF"/>
            <w:hideMark/>
          </w:tcPr>
          <w:p w14:paraId="4840B0AD" w14:textId="77777777" w:rsidR="00662D70" w:rsidRPr="004A0C00" w:rsidRDefault="00662D70" w:rsidP="004A4E82">
            <w:pPr>
              <w:spacing w:before="60" w:after="60" w:line="312" w:lineRule="atLeast"/>
              <w:ind w:firstLine="567"/>
              <w:jc w:val="both"/>
              <w:rPr>
                <w:rFonts w:ascii="Times New Roman" w:eastAsia="Times New Roman" w:hAnsi="Times New Roman" w:cs="Times New Roman"/>
                <w:color w:val="333333"/>
                <w:sz w:val="24"/>
                <w:szCs w:val="24"/>
                <w:lang w:eastAsia="ro-MD"/>
              </w:rPr>
            </w:pPr>
            <w:r w:rsidRPr="004A0C00">
              <w:rPr>
                <w:rFonts w:ascii="Times New Roman" w:eastAsia="Times New Roman" w:hAnsi="Times New Roman" w:cs="Times New Roman"/>
                <w:color w:val="333333"/>
                <w:sz w:val="24"/>
                <w:szCs w:val="24"/>
                <w:lang w:eastAsia="ro-MD"/>
              </w:rPr>
              <w:t>150 %</w:t>
            </w:r>
          </w:p>
        </w:tc>
      </w:tr>
    </w:tbl>
    <w:p w14:paraId="0C0954B3" w14:textId="77777777" w:rsidR="00354DDA" w:rsidRDefault="00354DDA" w:rsidP="004A4E82">
      <w:pPr>
        <w:pStyle w:val="Default"/>
        <w:ind w:firstLine="567"/>
      </w:pPr>
    </w:p>
    <w:p w14:paraId="4B875F8F" w14:textId="79A82A17" w:rsidR="00354DDA" w:rsidRPr="00CA27C5" w:rsidRDefault="00EF7E04" w:rsidP="004A4E82">
      <w:pPr>
        <w:pStyle w:val="Default"/>
        <w:ind w:firstLine="567"/>
        <w:jc w:val="both"/>
        <w:rPr>
          <w:lang w:val="en-US"/>
        </w:rPr>
      </w:pPr>
      <w:r>
        <w:t>Băncile</w:t>
      </w:r>
      <w:r w:rsidR="00354DDA">
        <w:t xml:space="preserve"> care utilizează preţul la termen al instrumentului-suport al unei opţiuni se asigură că: </w:t>
      </w:r>
    </w:p>
    <w:p w14:paraId="3A671BCE" w14:textId="77777777" w:rsidR="006903FB" w:rsidRDefault="006903FB" w:rsidP="004A4E82">
      <w:pPr>
        <w:pStyle w:val="Default"/>
        <w:ind w:firstLine="567"/>
        <w:jc w:val="both"/>
      </w:pPr>
      <w:r>
        <w:t>a</w:t>
      </w:r>
      <w:r w:rsidR="00354DDA">
        <w:t xml:space="preserve">) preţul la termen este în concordanţă cu caracteristicile opţiunii; </w:t>
      </w:r>
    </w:p>
    <w:p w14:paraId="46CCF9F5" w14:textId="77777777" w:rsidR="00573E9C" w:rsidRDefault="006903FB" w:rsidP="004A4E82">
      <w:pPr>
        <w:pStyle w:val="Default"/>
        <w:ind w:firstLine="567"/>
        <w:jc w:val="both"/>
      </w:pPr>
      <w:r>
        <w:t>b</w:t>
      </w:r>
      <w:r w:rsidR="00354DDA">
        <w:t xml:space="preserve">) preţul la termen se calculează utilizând o rată a dobânzii relevantă care predomină la data raportării; </w:t>
      </w:r>
    </w:p>
    <w:p w14:paraId="46B1B2BB" w14:textId="2800EE91" w:rsidR="006903FB" w:rsidRDefault="006903FB" w:rsidP="004A4E82">
      <w:pPr>
        <w:pStyle w:val="Default"/>
        <w:ind w:firstLine="567"/>
        <w:jc w:val="both"/>
      </w:pPr>
      <w:r>
        <w:t>c</w:t>
      </w:r>
      <w:r w:rsidR="00354DDA">
        <w:t xml:space="preserve">) preţul la termen integrează fluxurile de numerar preconizate ale instrumentului-suport înainte de expirarea opţiunii; </w:t>
      </w:r>
    </w:p>
    <w:p w14:paraId="15ADF912" w14:textId="78F921AE" w:rsidR="00354DDA" w:rsidRDefault="00304947" w:rsidP="004A4E82">
      <w:pPr>
        <w:pStyle w:val="Default"/>
        <w:ind w:firstLine="567"/>
      </w:pPr>
      <w:r>
        <w:t>2</w:t>
      </w:r>
      <w:r w:rsidR="00354DDA">
        <w:t xml:space="preserve">) pentru tranzacţiile care nu sunt menţionate la </w:t>
      </w:r>
      <w:r>
        <w:t>subpunctul 1)</w:t>
      </w:r>
      <w:r w:rsidR="00354DDA">
        <w:t xml:space="preserve">, </w:t>
      </w:r>
      <w:r w:rsidR="00EF7E04">
        <w:t>băncile</w:t>
      </w:r>
      <w:r w:rsidR="00354DDA">
        <w:t xml:space="preserve"> utilizează următorul delta reglementat: </w:t>
      </w:r>
    </w:p>
    <w:p w14:paraId="4E38F10B" w14:textId="77777777" w:rsidR="00354DDA" w:rsidRDefault="00354DDA" w:rsidP="004A4E82">
      <w:pPr>
        <w:pStyle w:val="Default"/>
        <w:ind w:firstLine="567"/>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08"/>
        <w:gridCol w:w="8080"/>
      </w:tblGrid>
      <w:tr w:rsidR="00EF7E04" w:rsidRPr="00482C74" w14:paraId="1A1DFC71" w14:textId="77777777" w:rsidTr="00B3691F">
        <w:tc>
          <w:tcPr>
            <w:tcW w:w="1101" w:type="dxa"/>
            <w:vMerge w:val="restart"/>
          </w:tcPr>
          <w:p w14:paraId="461DC376" w14:textId="77777777" w:rsidR="00EF7E04" w:rsidRPr="00482C74" w:rsidRDefault="00EF7E04" w:rsidP="004A4E82">
            <w:pPr>
              <w:pStyle w:val="CM4"/>
              <w:ind w:firstLine="567"/>
              <w:rPr>
                <w:color w:val="000000"/>
              </w:rPr>
            </w:pPr>
          </w:p>
          <w:p w14:paraId="7EE06F96" w14:textId="77777777" w:rsidR="00EF7E04" w:rsidRPr="00482C74" w:rsidRDefault="00EF7E04" w:rsidP="00B3691F">
            <w:pPr>
              <w:pStyle w:val="CM4"/>
              <w:rPr>
                <w:color w:val="000000"/>
              </w:rPr>
            </w:pPr>
          </w:p>
          <w:p w14:paraId="0325D903" w14:textId="77777777" w:rsidR="00EF7E04" w:rsidRPr="00482C74" w:rsidRDefault="00EF7E04" w:rsidP="004A4E82">
            <w:pPr>
              <w:pStyle w:val="CM4"/>
              <w:ind w:firstLine="567"/>
              <w:rPr>
                <w:color w:val="000000"/>
              </w:rPr>
            </w:pPr>
            <w:r w:rsidRPr="00482C74">
              <w:rPr>
                <w:color w:val="000000"/>
              </w:rPr>
              <w:t>δ =</w:t>
            </w:r>
          </w:p>
        </w:tc>
        <w:tc>
          <w:tcPr>
            <w:tcW w:w="708" w:type="dxa"/>
            <w:vMerge w:val="restart"/>
          </w:tcPr>
          <w:p w14:paraId="5E0303F5" w14:textId="77777777" w:rsidR="00EF7E04" w:rsidRPr="00482C74" w:rsidRDefault="00EF7E04" w:rsidP="00B3691F">
            <w:pPr>
              <w:pStyle w:val="CM4"/>
              <w:rPr>
                <w:color w:val="000000"/>
                <w:sz w:val="96"/>
                <w:szCs w:val="96"/>
              </w:rPr>
            </w:pPr>
            <w:r w:rsidRPr="00482C74">
              <w:rPr>
                <w:color w:val="000000"/>
                <w:sz w:val="96"/>
                <w:szCs w:val="96"/>
              </w:rPr>
              <w:t>{</w:t>
            </w:r>
          </w:p>
        </w:tc>
        <w:tc>
          <w:tcPr>
            <w:tcW w:w="8080" w:type="dxa"/>
          </w:tcPr>
          <w:p w14:paraId="1EE3897B" w14:textId="77777777" w:rsidR="00EF7E04" w:rsidRPr="00482C74" w:rsidRDefault="00EF7E04" w:rsidP="00B3691F">
            <w:pPr>
              <w:pStyle w:val="CM4"/>
              <w:rPr>
                <w:color w:val="000000"/>
                <w:sz w:val="22"/>
                <w:szCs w:val="22"/>
              </w:rPr>
            </w:pPr>
            <w:r w:rsidRPr="0083649B">
              <w:rPr>
                <w:color w:val="000000"/>
                <w:sz w:val="22"/>
                <w:szCs w:val="22"/>
              </w:rPr>
              <w:t>+ 1 dacă tranzacţia este o poziţie lungă pe determinantul de risc principal sau cel mai semnificativ determinant de risc în acea categorie de risc</w:t>
            </w:r>
          </w:p>
        </w:tc>
      </w:tr>
      <w:tr w:rsidR="00EF7E04" w:rsidRPr="00482C74" w14:paraId="26CE72F8" w14:textId="77777777" w:rsidTr="00B3691F">
        <w:trPr>
          <w:trHeight w:val="74"/>
        </w:trPr>
        <w:tc>
          <w:tcPr>
            <w:tcW w:w="1101" w:type="dxa"/>
            <w:vMerge/>
          </w:tcPr>
          <w:p w14:paraId="0B6A3CD7" w14:textId="77777777" w:rsidR="00EF7E04" w:rsidRPr="00482C74" w:rsidRDefault="00EF7E04" w:rsidP="004A4E82">
            <w:pPr>
              <w:pStyle w:val="CM4"/>
              <w:ind w:firstLine="567"/>
              <w:rPr>
                <w:color w:val="000000"/>
              </w:rPr>
            </w:pPr>
          </w:p>
        </w:tc>
        <w:tc>
          <w:tcPr>
            <w:tcW w:w="708" w:type="dxa"/>
            <w:vMerge/>
          </w:tcPr>
          <w:p w14:paraId="05ACCA04" w14:textId="77777777" w:rsidR="00EF7E04" w:rsidRPr="00482C74" w:rsidRDefault="00EF7E04" w:rsidP="004A4E82">
            <w:pPr>
              <w:pStyle w:val="CM4"/>
              <w:ind w:firstLine="567"/>
              <w:rPr>
                <w:color w:val="000000"/>
              </w:rPr>
            </w:pPr>
          </w:p>
        </w:tc>
        <w:tc>
          <w:tcPr>
            <w:tcW w:w="8080" w:type="dxa"/>
          </w:tcPr>
          <w:p w14:paraId="50CEC0FC" w14:textId="77777777" w:rsidR="00EF7E04" w:rsidRPr="00482C74" w:rsidRDefault="00EF7E04" w:rsidP="00B3691F">
            <w:pPr>
              <w:pStyle w:val="CM4"/>
              <w:ind w:firstLine="38"/>
              <w:rPr>
                <w:color w:val="000000"/>
                <w:sz w:val="22"/>
                <w:szCs w:val="22"/>
              </w:rPr>
            </w:pPr>
            <w:r w:rsidRPr="0083649B">
              <w:rPr>
                <w:color w:val="000000"/>
                <w:sz w:val="22"/>
                <w:szCs w:val="22"/>
              </w:rPr>
              <w:t>– 1 dacă tranzacţia este o poziţie scurtă pe determinantul de risc principal sau cel mai semnificativ determinant de risc în acea categorie de risc</w:t>
            </w:r>
          </w:p>
        </w:tc>
      </w:tr>
    </w:tbl>
    <w:p w14:paraId="5788A940" w14:textId="77777777" w:rsidR="00354DDA" w:rsidRDefault="00354DDA" w:rsidP="004A4E82">
      <w:pPr>
        <w:pStyle w:val="Default"/>
        <w:ind w:firstLine="567"/>
      </w:pPr>
    </w:p>
    <w:p w14:paraId="30D1CF7F" w14:textId="2B6FFAB1" w:rsidR="00354DDA" w:rsidRDefault="008551AC" w:rsidP="004A4E82">
      <w:pPr>
        <w:pStyle w:val="Default"/>
        <w:ind w:firstLine="567"/>
        <w:jc w:val="both"/>
      </w:pPr>
      <w:r>
        <w:rPr>
          <w:b/>
          <w:bCs/>
        </w:rPr>
        <w:t>5</w:t>
      </w:r>
      <w:r w:rsidR="00EA3FDE">
        <w:rPr>
          <w:b/>
          <w:bCs/>
        </w:rPr>
        <w:t>6</w:t>
      </w:r>
      <w:r w:rsidR="007D41A6" w:rsidRPr="00CA27C5">
        <w:rPr>
          <w:b/>
          <w:bCs/>
        </w:rPr>
        <w:t>.</w:t>
      </w:r>
      <w:r w:rsidR="00354DDA">
        <w:t xml:space="preserve"> În sensul prezentei secţiuni, o poziţie lungă pe determinantul de risc principal sau pe cel mai semnificativ determinant de risc într-o anumită categorie de risc pentru tranzacţiile menţionate la </w:t>
      </w:r>
      <w:r w:rsidR="007D41A6" w:rsidRPr="00864AFC">
        <w:t xml:space="preserve">punctul </w:t>
      </w:r>
      <w:r w:rsidR="00864AFC" w:rsidRPr="00864AFC">
        <w:t>46</w:t>
      </w:r>
      <w:r w:rsidR="00354DDA" w:rsidRPr="00864AFC">
        <w:t xml:space="preserve"> înseamnă că valoarea de piaţă a tranzacţiei crește atunci când valoarea determinantului de risc respectiv crește, iar o poziţie scurtă pe determinantul de risc principal sau pe cel mai semnificativ determinant de risc într-o anumită categorie de risc pentru tranzacţiile menţionate la </w:t>
      </w:r>
      <w:r w:rsidR="007D41A6" w:rsidRPr="00864AFC">
        <w:t xml:space="preserve">punctul </w:t>
      </w:r>
      <w:r w:rsidR="00864AFC" w:rsidRPr="00864AFC">
        <w:t>46</w:t>
      </w:r>
      <w:r w:rsidR="00354DDA">
        <w:t xml:space="preserve"> înseamnă că valoarea de piaţă a tranzacţiei scade atunci când valoarea determinantului de risc respectiv crește. </w:t>
      </w:r>
    </w:p>
    <w:p w14:paraId="6EA3E27C" w14:textId="2C0345D0" w:rsidR="007E43EC" w:rsidRDefault="007E43EC"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9</w:t>
      </w:r>
      <w:r w:rsidR="0099409E">
        <w:rPr>
          <w:i/>
          <w:iCs/>
          <w:color w:val="000000"/>
        </w:rPr>
        <w:t>-a</w:t>
      </w:r>
      <w:r>
        <w:rPr>
          <w:i/>
          <w:iCs/>
          <w:color w:val="000000"/>
        </w:rPr>
        <w:t xml:space="preserve"> </w:t>
      </w:r>
    </w:p>
    <w:p w14:paraId="0FF53C6F" w14:textId="77777777" w:rsidR="00354DDA" w:rsidRPr="00CA27C5" w:rsidRDefault="00354DDA" w:rsidP="004A4E82">
      <w:pPr>
        <w:pStyle w:val="Default"/>
        <w:ind w:firstLine="567"/>
        <w:jc w:val="center"/>
        <w:rPr>
          <w:b/>
          <w:bCs/>
        </w:rPr>
      </w:pPr>
      <w:r w:rsidRPr="00CA27C5">
        <w:rPr>
          <w:b/>
          <w:bCs/>
        </w:rPr>
        <w:t>Valoarea noţională ajustată</w:t>
      </w:r>
    </w:p>
    <w:p w14:paraId="4E1C1596" w14:textId="5098809B" w:rsidR="00354DDA" w:rsidRDefault="008551AC" w:rsidP="004A4E82">
      <w:pPr>
        <w:pStyle w:val="Default"/>
        <w:ind w:firstLine="567"/>
        <w:jc w:val="both"/>
      </w:pPr>
      <w:r>
        <w:rPr>
          <w:b/>
          <w:bCs/>
        </w:rPr>
        <w:t>5</w:t>
      </w:r>
      <w:r w:rsidR="00EA3FDE">
        <w:rPr>
          <w:b/>
          <w:bCs/>
        </w:rPr>
        <w:t>7</w:t>
      </w:r>
      <w:r w:rsidR="00BB1C42" w:rsidRPr="00CA27C5">
        <w:rPr>
          <w:b/>
          <w:bCs/>
        </w:rPr>
        <w:t>.</w:t>
      </w:r>
      <w:r w:rsidR="00354DDA">
        <w:t xml:space="preserve"> </w:t>
      </w:r>
      <w:r w:rsidR="007E43EC">
        <w:t>Băncile</w:t>
      </w:r>
      <w:r w:rsidR="00354DDA">
        <w:t xml:space="preserve"> calculează valoarea noţională ajustată după cum urmează: </w:t>
      </w:r>
    </w:p>
    <w:p w14:paraId="2674FC3A" w14:textId="41300809" w:rsidR="00354DDA" w:rsidRDefault="006903FB" w:rsidP="004A4E82">
      <w:pPr>
        <w:pStyle w:val="Default"/>
        <w:ind w:firstLine="567"/>
        <w:jc w:val="both"/>
      </w:pPr>
      <w:r>
        <w:t>1</w:t>
      </w:r>
      <w:r w:rsidR="00354DDA">
        <w:t xml:space="preserve">) pentru tranzacţiile încadrate în categoria de risc de rată a dobânzii sau în categoria de risc de credit, </w:t>
      </w:r>
      <w:r w:rsidR="007E43EC">
        <w:t>băncile</w:t>
      </w:r>
      <w:r w:rsidR="00354DDA">
        <w:t xml:space="preserve"> calculează valoarea noţională ajustată ca fiind produsul dintre valoarea noţională a contractului derivat și factorul duratei impus de </w:t>
      </w:r>
      <w:r w:rsidR="004B5ABF" w:rsidRPr="00385EFD">
        <w:t>B</w:t>
      </w:r>
      <w:r w:rsidR="00385EFD" w:rsidRPr="00385EFD">
        <w:t xml:space="preserve">anca </w:t>
      </w:r>
      <w:r w:rsidR="004B5ABF" w:rsidRPr="00385EFD">
        <w:t>N</w:t>
      </w:r>
      <w:r w:rsidR="00385EFD" w:rsidRPr="00385EFD">
        <w:t xml:space="preserve">ațională a </w:t>
      </w:r>
      <w:r w:rsidR="004B5ABF" w:rsidRPr="00385EFD">
        <w:t>M</w:t>
      </w:r>
      <w:r w:rsidR="00385EFD" w:rsidRPr="00385EFD">
        <w:t>oldovei</w:t>
      </w:r>
      <w:r w:rsidR="00354DDA">
        <w:t xml:space="preserve">, care se calculează după cum urmează: </w:t>
      </w:r>
    </w:p>
    <w:p w14:paraId="4BF5AEF4" w14:textId="3E5833D6" w:rsidR="007E43EC" w:rsidRDefault="007E43EC" w:rsidP="004A4E82">
      <w:pPr>
        <w:pStyle w:val="Default"/>
        <w:ind w:firstLine="567"/>
        <w:jc w:val="both"/>
      </w:pPr>
      <w:r w:rsidRPr="00BF2A26">
        <w:rPr>
          <w:noProof/>
          <w:lang w:val="en-US"/>
        </w:rPr>
        <w:drawing>
          <wp:inline distT="0" distB="0" distL="0" distR="0" wp14:anchorId="58C9743A" wp14:editId="13595142">
            <wp:extent cx="5452280" cy="475139"/>
            <wp:effectExtent l="0" t="0" r="0" b="0"/>
            <wp:docPr id="472652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4921" cy="485827"/>
                    </a:xfrm>
                    <a:prstGeom prst="rect">
                      <a:avLst/>
                    </a:prstGeom>
                    <a:noFill/>
                    <a:ln>
                      <a:noFill/>
                    </a:ln>
                  </pic:spPr>
                </pic:pic>
              </a:graphicData>
            </a:graphic>
          </wp:inline>
        </w:drawing>
      </w:r>
    </w:p>
    <w:p w14:paraId="70FD03A6" w14:textId="77777777" w:rsidR="00354DDA" w:rsidRDefault="00354DDA" w:rsidP="004A4E82">
      <w:pPr>
        <w:pStyle w:val="Default"/>
        <w:ind w:firstLine="567"/>
        <w:jc w:val="both"/>
      </w:pPr>
      <w:r>
        <w:t xml:space="preserve"> </w:t>
      </w:r>
    </w:p>
    <w:p w14:paraId="3581FB8E" w14:textId="77777777" w:rsidR="00354DDA" w:rsidRPr="00D93B2B" w:rsidRDefault="00354DDA" w:rsidP="004A4E82">
      <w:pPr>
        <w:pStyle w:val="Default"/>
        <w:ind w:firstLine="567"/>
        <w:jc w:val="both"/>
        <w:rPr>
          <w:lang w:val="en-US"/>
        </w:rPr>
      </w:pPr>
      <w:r>
        <w:t xml:space="preserve">unde: </w:t>
      </w:r>
    </w:p>
    <w:p w14:paraId="4679A57A" w14:textId="77777777" w:rsidR="00385EFD" w:rsidRDefault="00354DDA" w:rsidP="004A4E82">
      <w:pPr>
        <w:pStyle w:val="Default"/>
        <w:ind w:firstLine="567"/>
        <w:jc w:val="both"/>
      </w:pPr>
      <w:r>
        <w:t xml:space="preserve">R = rata de actualizare impusă de </w:t>
      </w:r>
      <w:r w:rsidR="007E43EC" w:rsidRPr="00385EFD">
        <w:t>B</w:t>
      </w:r>
      <w:r w:rsidR="00385EFD" w:rsidRPr="00385EFD">
        <w:t xml:space="preserve">anca </w:t>
      </w:r>
      <w:r w:rsidR="007E43EC" w:rsidRPr="00385EFD">
        <w:t>N</w:t>
      </w:r>
      <w:r w:rsidR="00385EFD" w:rsidRPr="00385EFD">
        <w:t xml:space="preserve">ațională a </w:t>
      </w:r>
      <w:r w:rsidR="007E43EC" w:rsidRPr="00385EFD">
        <w:t>M</w:t>
      </w:r>
      <w:r w:rsidR="00385EFD" w:rsidRPr="00385EFD">
        <w:t>oldovei</w:t>
      </w:r>
      <w:r>
        <w:t xml:space="preserve">; </w:t>
      </w:r>
    </w:p>
    <w:p w14:paraId="569C40FD" w14:textId="7DFF4EA9" w:rsidR="00354DDA" w:rsidRDefault="00354DDA" w:rsidP="004A4E82">
      <w:pPr>
        <w:pStyle w:val="Default"/>
        <w:ind w:firstLine="567"/>
        <w:jc w:val="both"/>
      </w:pPr>
      <w:r>
        <w:t>R = 5 %;</w:t>
      </w:r>
    </w:p>
    <w:p w14:paraId="437611E9" w14:textId="77777777" w:rsidR="00354DDA" w:rsidRDefault="00354DDA" w:rsidP="004A4E82">
      <w:pPr>
        <w:pStyle w:val="Default"/>
        <w:ind w:firstLine="567"/>
        <w:jc w:val="both"/>
      </w:pPr>
      <w:r>
        <w:t xml:space="preserve">S = perioada de timp dintre data de începere a unei tranzacţii și data raportării, care este exprimată în ani, utilizând convenţia privind zilele lucrătoare relevantă; </w:t>
      </w:r>
    </w:p>
    <w:p w14:paraId="09E9D00B" w14:textId="77777777" w:rsidR="007E43EC" w:rsidRDefault="00354DDA" w:rsidP="004A4E82">
      <w:pPr>
        <w:pStyle w:val="Default"/>
        <w:ind w:firstLine="567"/>
        <w:jc w:val="both"/>
      </w:pPr>
      <w:r>
        <w:lastRenderedPageBreak/>
        <w:t xml:space="preserve">E = perioada dintre data de încetare a unei tranzacţii și data raportării, care este exprimată în ani, utilizând convenţia privind zilele lucrătoare relevantă; și </w:t>
      </w:r>
    </w:p>
    <w:p w14:paraId="2399F5FB" w14:textId="0AB62D05" w:rsidR="00354DDA" w:rsidRDefault="00354DDA" w:rsidP="004A4E82">
      <w:pPr>
        <w:pStyle w:val="Default"/>
        <w:ind w:firstLine="567"/>
        <w:jc w:val="both"/>
      </w:pPr>
      <w:r>
        <w:t xml:space="preserve">un exerciţiu financiar (OneBusinessYear) = un an exprimat în zile lucrătoare utilizând convenţia privind zilele lucrătoare relevantă. </w:t>
      </w:r>
    </w:p>
    <w:p w14:paraId="647E6BF5" w14:textId="66132718" w:rsidR="00354DDA" w:rsidRDefault="00354DDA" w:rsidP="004A4E82">
      <w:pPr>
        <w:pStyle w:val="Default"/>
        <w:ind w:firstLine="567"/>
        <w:jc w:val="both"/>
      </w:pPr>
      <w:r>
        <w:t xml:space="preserve">Data de începere a unei tranzacţii este prima dată la care este fie stabilită, fie efectuată cel puţin o plată contractuală în cadrul tranzacţiei, către </w:t>
      </w:r>
      <w:r w:rsidR="007E43EC">
        <w:t>bancă</w:t>
      </w:r>
      <w:r>
        <w:t xml:space="preserve"> sau din partea </w:t>
      </w:r>
      <w:r w:rsidR="007E43EC">
        <w:t>băncii</w:t>
      </w:r>
      <w:r>
        <w:t xml:space="preserve">, alta decât plăţile legate de schimbul de garanţii reale din cadrul unui contract în marjă. În cazul în care tranzacţia a început deja să stabilească sau să efectueze plăţi la data raportării, data de începere a unei tranzacţii este egală cu 0. </w:t>
      </w:r>
    </w:p>
    <w:p w14:paraId="610084AC" w14:textId="2E85784A" w:rsidR="00354DDA" w:rsidRDefault="00354DDA" w:rsidP="004A4E82">
      <w:pPr>
        <w:pStyle w:val="Default"/>
        <w:ind w:firstLine="567"/>
        <w:jc w:val="both"/>
      </w:pPr>
      <w:r>
        <w:t xml:space="preserve">În cazul în care o tranzacţie implică una sau mai multe date contractuale viitoare la care </w:t>
      </w:r>
      <w:r w:rsidR="007E43EC">
        <w:t xml:space="preserve">banca </w:t>
      </w:r>
      <w:r>
        <w:t xml:space="preserve">sau contrapartea poate decide să pună capăt tranzacţiei înainte de scadenţa contractuală a acesteia, data de începere a unei tranzacţii este egală cu prima dintre următoarele: </w:t>
      </w:r>
    </w:p>
    <w:p w14:paraId="6BEE9F30" w14:textId="09B4C5A3" w:rsidR="00354DDA" w:rsidRDefault="006903FB" w:rsidP="004A4E82">
      <w:pPr>
        <w:pStyle w:val="Default"/>
        <w:ind w:firstLine="567"/>
        <w:jc w:val="both"/>
      </w:pPr>
      <w:r>
        <w:t>a</w:t>
      </w:r>
      <w:r w:rsidR="00354DDA">
        <w:t xml:space="preserve">) data sau prima dintre datele viitoare multiple la care </w:t>
      </w:r>
      <w:r w:rsidR="007E43EC">
        <w:t xml:space="preserve">banca </w:t>
      </w:r>
      <w:r w:rsidR="00354DDA">
        <w:t xml:space="preserve">sau contrapartea poate decide să pună capăt tranzacţiei înainte de scadenţa contractuală a acesteia; </w:t>
      </w:r>
    </w:p>
    <w:p w14:paraId="3C5DD313" w14:textId="3F8CF7C3" w:rsidR="00354DDA" w:rsidRDefault="006903FB" w:rsidP="004A4E82">
      <w:pPr>
        <w:pStyle w:val="Default"/>
        <w:ind w:firstLine="567"/>
        <w:jc w:val="both"/>
      </w:pPr>
      <w:r>
        <w:t>b</w:t>
      </w:r>
      <w:r w:rsidR="00354DDA">
        <w:t xml:space="preserve">) data la care o tranzacţie începe să stabilească sau să efectueze plăţi, altele decât plăţile legate de schimbul de garanţii reale din cadrul unui contract în marjă. </w:t>
      </w:r>
    </w:p>
    <w:p w14:paraId="76774343" w14:textId="77777777" w:rsidR="00354DDA" w:rsidRDefault="00354DDA" w:rsidP="004A4E82">
      <w:pPr>
        <w:pStyle w:val="Default"/>
        <w:ind w:firstLine="567"/>
        <w:jc w:val="both"/>
      </w:pPr>
      <w:r>
        <w:t xml:space="preserve">În cazul în care o tranzacţie are ca instrument-suport un instrument financiar care poate da naștere unor obligaţii contractuale suplimentare faţă de cele care decurg din tranzacţie, data de începere a unei tranzacţii se determină pe baza primei date la care instrumentul-suport începe stabilirea sau efectuarea plăţilor. </w:t>
      </w:r>
    </w:p>
    <w:p w14:paraId="585C467E" w14:textId="5FD1524F" w:rsidR="00354DDA" w:rsidRDefault="00354DDA" w:rsidP="004A4E82">
      <w:pPr>
        <w:pStyle w:val="Default"/>
        <w:ind w:firstLine="567"/>
        <w:jc w:val="both"/>
      </w:pPr>
      <w:r>
        <w:t xml:space="preserve">Data de încetare a unei tranzacţii este ultima dată la care este efectuată sau poate fi efectuată o plată contractuală în cadrul tranzacţiei, către sau din partea </w:t>
      </w:r>
      <w:r w:rsidR="007E43EC">
        <w:t>băncii</w:t>
      </w:r>
      <w:r>
        <w:t xml:space="preserve">. </w:t>
      </w:r>
    </w:p>
    <w:p w14:paraId="67093201" w14:textId="77777777" w:rsidR="00354DDA" w:rsidRDefault="00354DDA" w:rsidP="004A4E82">
      <w:pPr>
        <w:pStyle w:val="Default"/>
        <w:ind w:firstLine="567"/>
        <w:jc w:val="both"/>
      </w:pPr>
      <w:r>
        <w:t xml:space="preserve">În cazul în care o tranzacţie are ca instrument-suport un instrument financiar care poate da naștere unor obligaţii contractuale suplimentare faţă de cele care decurg din tranzacţie, data de încetare a unei tranzacţii se determină pe baza ultimei plăţi contractuale aferente instrumentului-suport al tranzacţiei. </w:t>
      </w:r>
    </w:p>
    <w:p w14:paraId="66D02F38" w14:textId="77777777" w:rsidR="00354DDA" w:rsidRDefault="00354DDA" w:rsidP="004A4E82">
      <w:pPr>
        <w:pStyle w:val="Default"/>
        <w:ind w:firstLine="567"/>
        <w:jc w:val="both"/>
      </w:pPr>
      <w:r>
        <w:t xml:space="preserve">În cazul în care o tranzacţie este structurată astfel încât o expunere rămasă de rambursat să fie decontată după anumite date de plată specificate și </w:t>
      </w:r>
      <w:r w:rsidRPr="001F0C41">
        <w:t>termenii</w:t>
      </w:r>
      <w:r>
        <w:t xml:space="preserve"> sunt revizuiţi astfel încât valoarea de piaţă a tranzacţiei să fie zero la datele specificate respective, decontarea expunerii rămase de rambursat la aceste date specificate este considerată plată contractuală în cadrul aceleiași tranzacţii; </w:t>
      </w:r>
    </w:p>
    <w:p w14:paraId="5BB075E5" w14:textId="6997927F" w:rsidR="00354DDA" w:rsidRDefault="006903FB" w:rsidP="004A4E82">
      <w:pPr>
        <w:pStyle w:val="Default"/>
        <w:ind w:firstLine="567"/>
        <w:jc w:val="both"/>
      </w:pPr>
      <w:r>
        <w:t>2</w:t>
      </w:r>
      <w:r w:rsidR="00354DDA">
        <w:t xml:space="preserve">) în cazul tranzacţiilor încadrate în categoria de risc valutar, </w:t>
      </w:r>
      <w:r w:rsidR="007E43EC">
        <w:t xml:space="preserve">băncile </w:t>
      </w:r>
      <w:r w:rsidR="00354DDA">
        <w:t xml:space="preserve">calculează valoarea noţională ajustată după cum urmează: </w:t>
      </w:r>
    </w:p>
    <w:p w14:paraId="1BA7CA61" w14:textId="39B57722" w:rsidR="00354DDA" w:rsidRDefault="006903FB" w:rsidP="004A4E82">
      <w:pPr>
        <w:pStyle w:val="Default"/>
        <w:ind w:firstLine="567"/>
        <w:jc w:val="both"/>
      </w:pPr>
      <w:r>
        <w:t>a</w:t>
      </w:r>
      <w:r w:rsidR="00354DDA">
        <w:t xml:space="preserve">) în cazul în care tranzacţia este formată dintr-un segment de plată, valoarea noţională ajustată este valoarea noţională a contractului derivat; </w:t>
      </w:r>
    </w:p>
    <w:p w14:paraId="45A2C3D3" w14:textId="77777777" w:rsidR="006903FB" w:rsidRDefault="006903FB" w:rsidP="004A4E82">
      <w:pPr>
        <w:pStyle w:val="Default"/>
        <w:ind w:firstLine="567"/>
        <w:jc w:val="both"/>
      </w:pPr>
      <w:r>
        <w:t>b</w:t>
      </w:r>
      <w:r w:rsidR="00354DDA">
        <w:t xml:space="preserve">) în cazul în care tranzacţia este formată din două segmente de plată, iar valoarea noţională a unui segment de plată este denominată în moneda de raportare a </w:t>
      </w:r>
      <w:r w:rsidR="007E43EC">
        <w:t>băncii</w:t>
      </w:r>
      <w:r w:rsidR="00354DDA">
        <w:t xml:space="preserve">, valoarea noţională ajustată este valoarea noţională a celuilalt segment de plată; </w:t>
      </w:r>
    </w:p>
    <w:p w14:paraId="4DDA0CE0" w14:textId="3141D55B" w:rsidR="00354DDA" w:rsidRDefault="006903FB" w:rsidP="004A4E82">
      <w:pPr>
        <w:pStyle w:val="Default"/>
        <w:ind w:firstLine="567"/>
        <w:jc w:val="both"/>
      </w:pPr>
      <w:r>
        <w:t>c</w:t>
      </w:r>
      <w:r w:rsidR="00354DDA">
        <w:t xml:space="preserve">) în cazul în care tranzacţia este formată din două segmente de plată, iar valoarea noţională a fiecărui segment de plată este denominată într-o altă monedă decât moneda de raportare a </w:t>
      </w:r>
      <w:r w:rsidR="007E43EC">
        <w:t>băncii</w:t>
      </w:r>
      <w:r w:rsidR="00354DDA">
        <w:t xml:space="preserve">, valoarea noţională ajustată este cea mai mare dintre valorile noţionale ale celor două segmente de plată după ce valorile respective au fost convertite în moneda de raportare a </w:t>
      </w:r>
      <w:r w:rsidR="007E43EC">
        <w:t>băncii</w:t>
      </w:r>
      <w:r w:rsidR="00354DDA">
        <w:t xml:space="preserve"> la cursul de schimb la vedere predominant; </w:t>
      </w:r>
    </w:p>
    <w:p w14:paraId="412CB9E1" w14:textId="688067E8" w:rsidR="00354DDA" w:rsidRDefault="006903FB" w:rsidP="004A4E82">
      <w:pPr>
        <w:pStyle w:val="Default"/>
        <w:ind w:firstLine="567"/>
        <w:jc w:val="both"/>
      </w:pPr>
      <w:r>
        <w:t>3</w:t>
      </w:r>
      <w:r w:rsidR="00354DDA">
        <w:t xml:space="preserve">) pentru tranzacţiile încadrate în categoria de risc privind titlurile de capital sau de risc de marfă, </w:t>
      </w:r>
      <w:r w:rsidR="007E43EC">
        <w:t>băncile</w:t>
      </w:r>
      <w:r w:rsidR="00354DDA">
        <w:t xml:space="preserve"> calculează valoarea noţională ajustată ca fiind produsul dintre preţul de piaţă al unei unităţi a instrumentului-suport al tranzacţiei și numărul de unităţi ale instrumentului-suport la care se raportează tranzacţia; </w:t>
      </w:r>
    </w:p>
    <w:p w14:paraId="6BE3B1AC" w14:textId="17455D08" w:rsidR="00354DDA" w:rsidRDefault="007E43EC" w:rsidP="004A4E82">
      <w:pPr>
        <w:pStyle w:val="Default"/>
        <w:ind w:firstLine="567"/>
        <w:jc w:val="both"/>
      </w:pPr>
      <w:r>
        <w:lastRenderedPageBreak/>
        <w:t>Î</w:t>
      </w:r>
      <w:r w:rsidR="00354DDA">
        <w:t xml:space="preserve">n cazul în care o tranzacţie încadrată în categoria de risc privind titlurile de capital sau de risc de marfă este exprimată prin contract ca o valoare noţională, </w:t>
      </w:r>
      <w:r w:rsidR="00BB1C42">
        <w:t>băncile</w:t>
      </w:r>
      <w:r w:rsidR="00354DDA">
        <w:t xml:space="preserve"> utilizează valoarea noţională a tranzacţiei, și nu numărul de unităţi ale instrumentului-suport, ca valoare noţională ajustată; </w:t>
      </w:r>
    </w:p>
    <w:p w14:paraId="1923F186" w14:textId="643A6E1D" w:rsidR="00354DDA" w:rsidRDefault="006903FB" w:rsidP="004A4E82">
      <w:pPr>
        <w:pStyle w:val="Default"/>
        <w:ind w:firstLine="567"/>
        <w:jc w:val="both"/>
      </w:pPr>
      <w:r>
        <w:t>4</w:t>
      </w:r>
      <w:r w:rsidR="00354DDA">
        <w:t xml:space="preserve">) pentru tranzacţiile încadrate în categoria „alte riscuri”, </w:t>
      </w:r>
      <w:r w:rsidR="00BB1C42">
        <w:t>băncile</w:t>
      </w:r>
      <w:r w:rsidR="00354DDA">
        <w:t xml:space="preserve"> calculează valoarea noţională ajustată pe baza metodei celei mai adecvate dintre metodele menţionate la literele (a), (b) și (c), în funcţie de natura și caracteristicile instrumentului-suport al tranzacţiei. </w:t>
      </w:r>
    </w:p>
    <w:p w14:paraId="657A7C22" w14:textId="0DDB8A8E" w:rsidR="006903FB" w:rsidRDefault="008551AC" w:rsidP="004A4E82">
      <w:pPr>
        <w:pStyle w:val="Default"/>
        <w:ind w:firstLine="567"/>
        <w:jc w:val="both"/>
      </w:pPr>
      <w:r>
        <w:rPr>
          <w:b/>
          <w:bCs/>
        </w:rPr>
        <w:t>5</w:t>
      </w:r>
      <w:r w:rsidR="00EA3FDE">
        <w:rPr>
          <w:b/>
          <w:bCs/>
        </w:rPr>
        <w:t>8</w:t>
      </w:r>
      <w:r w:rsidR="00BB1C42" w:rsidRPr="00CA27C5">
        <w:rPr>
          <w:b/>
          <w:bCs/>
        </w:rPr>
        <w:t>.</w:t>
      </w:r>
      <w:r w:rsidR="00354DDA">
        <w:t xml:space="preserve"> În scopul calculării valorii noţionale ajustate a unei tranzacţii menţionate la </w:t>
      </w:r>
      <w:r w:rsidR="00BB1C42" w:rsidRPr="00675E32">
        <w:t xml:space="preserve">punctul </w:t>
      </w:r>
      <w:r w:rsidR="00675E32" w:rsidRPr="00675E32">
        <w:t>5</w:t>
      </w:r>
      <w:r w:rsidR="00675E32">
        <w:t>7</w:t>
      </w:r>
      <w:r w:rsidR="00354DDA">
        <w:t xml:space="preserve">, </w:t>
      </w:r>
      <w:r w:rsidR="00BB1C42">
        <w:t>băncile</w:t>
      </w:r>
      <w:r w:rsidR="00354DDA">
        <w:t xml:space="preserve"> determină valoarea noţională sau numărul de unităţi ale instrumentului-suport după cum urmează: </w:t>
      </w:r>
    </w:p>
    <w:p w14:paraId="689733CA" w14:textId="330BC467" w:rsidR="00354DDA" w:rsidRDefault="006903FB" w:rsidP="004A4E82">
      <w:pPr>
        <w:pStyle w:val="Default"/>
        <w:ind w:firstLine="567"/>
        <w:jc w:val="both"/>
      </w:pPr>
      <w:r>
        <w:t>1</w:t>
      </w:r>
      <w:r w:rsidR="00354DDA">
        <w:t xml:space="preserve">) în cazul în care valoarea noţională sau numărul de unităţi ale instrumentului-suport al unei tranzacţii nu este stabilit până la scadenţa contractuală: </w:t>
      </w:r>
    </w:p>
    <w:p w14:paraId="4341609C" w14:textId="77777777" w:rsidR="006903FB" w:rsidRDefault="006903FB" w:rsidP="004A4E82">
      <w:pPr>
        <w:pStyle w:val="Default"/>
        <w:ind w:firstLine="567"/>
        <w:jc w:val="both"/>
      </w:pPr>
      <w:r>
        <w:t>a</w:t>
      </w:r>
      <w:r w:rsidR="00354DDA">
        <w:t xml:space="preserve">) pentru valori deterministe ale valorilor noţionale și ale numărului de unităţi ale instrumentului-suport, valoarea noţională este media ponderată a tuturor valorilor deterministe ale valorilor noţionale sau ale numărului de unităţi ale instrumentului-suport, după caz, până la scadenţa contractuală a tranzacţiei, ponderile fiind date de proporţia din perioada de timp în care se aplică fiecare valoare noţională; </w:t>
      </w:r>
    </w:p>
    <w:p w14:paraId="2D80E154" w14:textId="1C7157C8" w:rsidR="00354DDA" w:rsidRDefault="006903FB" w:rsidP="004A4E82">
      <w:pPr>
        <w:pStyle w:val="Default"/>
        <w:ind w:firstLine="567"/>
        <w:jc w:val="both"/>
      </w:pPr>
      <w:r>
        <w:t>b</w:t>
      </w:r>
      <w:r w:rsidR="00354DDA">
        <w:t xml:space="preserve">) pentru valori stocastice ale valorilor noţionale și ale numărului de unităţi ale instrumentului-suport, valoarea noţională este valoarea determinată prin stabilirea valorilor curente de piaţă în formula de calcul al valorilor de piaţă viitoare; </w:t>
      </w:r>
    </w:p>
    <w:p w14:paraId="445118F9" w14:textId="3F5AC994" w:rsidR="00354DDA" w:rsidRDefault="006903FB" w:rsidP="004A4E82">
      <w:pPr>
        <w:pStyle w:val="Default"/>
        <w:ind w:firstLine="567"/>
        <w:jc w:val="both"/>
      </w:pPr>
      <w:r>
        <w:t>2</w:t>
      </w:r>
      <w:r w:rsidR="00354DDA">
        <w:t xml:space="preserve">) în cazul contractelor care presupun schimburi multiple ale valorii noţionale, aceasta se înmulţește cu numărul plăţilor care mai rămân de efectuat conform contractelor; </w:t>
      </w:r>
    </w:p>
    <w:p w14:paraId="7637F0E7" w14:textId="624118A1" w:rsidR="00354DDA" w:rsidRDefault="006903FB" w:rsidP="004A4E82">
      <w:pPr>
        <w:pStyle w:val="Default"/>
        <w:ind w:firstLine="567"/>
        <w:jc w:val="both"/>
      </w:pPr>
      <w:r>
        <w:t>3</w:t>
      </w:r>
      <w:r w:rsidR="00354DDA">
        <w:t xml:space="preserve">) în cazul contractelor care prevăd o multiplicare a plăţilor aferente fluxurilor de numerar sau o multiplicare a instrumentului-suport al contractului derivat, </w:t>
      </w:r>
      <w:r w:rsidR="00AF4E45">
        <w:t xml:space="preserve">banca </w:t>
      </w:r>
      <w:r w:rsidR="00354DDA">
        <w:t xml:space="preserve">ajustează valoarea noţională pentru a reflecta efectele multiplicării asupra structurii de risc a contractelor respective. </w:t>
      </w:r>
    </w:p>
    <w:p w14:paraId="5B21D610" w14:textId="35A9B75C" w:rsidR="00354DDA" w:rsidRDefault="008551AC" w:rsidP="004A4E82">
      <w:pPr>
        <w:pStyle w:val="Default"/>
        <w:ind w:firstLine="567"/>
        <w:jc w:val="both"/>
      </w:pPr>
      <w:r>
        <w:rPr>
          <w:b/>
          <w:bCs/>
        </w:rPr>
        <w:t>5</w:t>
      </w:r>
      <w:r w:rsidR="00EA3FDE">
        <w:rPr>
          <w:b/>
          <w:bCs/>
        </w:rPr>
        <w:t>9</w:t>
      </w:r>
      <w:r w:rsidR="00BB1C42" w:rsidRPr="00CA27C5">
        <w:rPr>
          <w:b/>
          <w:bCs/>
        </w:rPr>
        <w:t>.</w:t>
      </w:r>
      <w:r w:rsidR="00354DDA">
        <w:t xml:space="preserve"> </w:t>
      </w:r>
      <w:r w:rsidR="00BB1C42">
        <w:t>Băncile</w:t>
      </w:r>
      <w:r w:rsidR="00354DDA">
        <w:t xml:space="preserve"> convertesc valoarea noţională ajustată a unei tranzacţii în moneda lor de raportare la cursul de schimb la vedere predominant în cazul în care valoarea noţională ajustată este calculată în conformitate cu prezent</w:t>
      </w:r>
      <w:r w:rsidR="00082CBD">
        <w:t xml:space="preserve">a secțiune </w:t>
      </w:r>
      <w:r w:rsidR="00354DDA">
        <w:t xml:space="preserve">pornind de la o valoare noţională contractuală sau de la un preţ de piaţă al numărului de unităţi ale instrumentului-suport denominat într-o altă monedă. </w:t>
      </w:r>
    </w:p>
    <w:p w14:paraId="4D70B1C2" w14:textId="23B25786" w:rsidR="00BB1C42" w:rsidRDefault="00BB1C42"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10</w:t>
      </w:r>
      <w:r w:rsidR="0099409E">
        <w:rPr>
          <w:i/>
          <w:iCs/>
          <w:color w:val="000000"/>
        </w:rPr>
        <w:t>-a</w:t>
      </w:r>
      <w:r>
        <w:rPr>
          <w:i/>
          <w:iCs/>
          <w:color w:val="000000"/>
        </w:rPr>
        <w:t xml:space="preserve"> </w:t>
      </w:r>
    </w:p>
    <w:p w14:paraId="65D7FE7E" w14:textId="77777777" w:rsidR="00354DDA" w:rsidRPr="00CA27C5" w:rsidRDefault="00354DDA" w:rsidP="004A4E82">
      <w:pPr>
        <w:pStyle w:val="Default"/>
        <w:ind w:firstLine="567"/>
        <w:jc w:val="center"/>
        <w:rPr>
          <w:b/>
          <w:bCs/>
        </w:rPr>
      </w:pPr>
      <w:r w:rsidRPr="00CA27C5">
        <w:rPr>
          <w:b/>
          <w:bCs/>
        </w:rPr>
        <w:t>Factorul de ajustare în funcţie de scadenţă</w:t>
      </w:r>
    </w:p>
    <w:p w14:paraId="1E218C53" w14:textId="147743D1" w:rsidR="00354DDA" w:rsidRDefault="00EA3FDE" w:rsidP="005D04B2">
      <w:pPr>
        <w:pStyle w:val="Default"/>
        <w:ind w:firstLine="567"/>
      </w:pPr>
      <w:r>
        <w:rPr>
          <w:b/>
          <w:bCs/>
        </w:rPr>
        <w:t>60</w:t>
      </w:r>
      <w:r w:rsidR="00BB1C42" w:rsidRPr="00CA27C5">
        <w:rPr>
          <w:b/>
          <w:bCs/>
        </w:rPr>
        <w:t>.</w:t>
      </w:r>
      <w:r w:rsidR="00354DDA">
        <w:t xml:space="preserve"> </w:t>
      </w:r>
      <w:r w:rsidR="005D04B2">
        <w:t>P</w:t>
      </w:r>
      <w:r w:rsidR="00354DDA">
        <w:t xml:space="preserve">entru tranzacţiile incluse în seturile de compensare menţionate la </w:t>
      </w:r>
      <w:r w:rsidR="00BB1C42" w:rsidRPr="00E8709D">
        <w:t xml:space="preserve">punctul </w:t>
      </w:r>
      <w:r w:rsidR="00E8709D">
        <w:t>38</w:t>
      </w:r>
      <w:r w:rsidR="00354DDA">
        <w:t xml:space="preserve">, </w:t>
      </w:r>
      <w:r w:rsidR="00BB1C42">
        <w:t xml:space="preserve">băncile </w:t>
      </w:r>
      <w:r w:rsidR="005D04B2" w:rsidRPr="005D04B2">
        <w:t>calculează factorul de ajustare în funcţie de scadenţă după</w:t>
      </w:r>
      <w:r w:rsidR="00354DDA">
        <w:t xml:space="preserve"> următoarea formulă: </w:t>
      </w:r>
    </w:p>
    <w:p w14:paraId="08111729" w14:textId="77777777" w:rsidR="00354DDA" w:rsidRDefault="00354DDA" w:rsidP="004A4E82">
      <w:pPr>
        <w:pStyle w:val="Default"/>
        <w:ind w:firstLine="567"/>
      </w:pPr>
      <w:r>
        <w:t xml:space="preserve"> </w:t>
      </w:r>
    </w:p>
    <w:p w14:paraId="0D7DBD93" w14:textId="7182AF90" w:rsidR="00BB1C42" w:rsidRDefault="00BB1C42" w:rsidP="004A4E82">
      <w:pPr>
        <w:pStyle w:val="Default"/>
        <w:ind w:firstLine="567"/>
        <w:jc w:val="center"/>
      </w:pPr>
      <w:r w:rsidRPr="00BF2A26">
        <w:rPr>
          <w:noProof/>
          <w:lang w:val="en-US"/>
        </w:rPr>
        <w:drawing>
          <wp:inline distT="0" distB="0" distL="0" distR="0" wp14:anchorId="3D9613A9" wp14:editId="417D070C">
            <wp:extent cx="3648710" cy="362310"/>
            <wp:effectExtent l="0" t="0" r="0" b="0"/>
            <wp:docPr id="15455014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7218" cy="368120"/>
                    </a:xfrm>
                    <a:prstGeom prst="rect">
                      <a:avLst/>
                    </a:prstGeom>
                    <a:noFill/>
                    <a:ln>
                      <a:noFill/>
                    </a:ln>
                  </pic:spPr>
                </pic:pic>
              </a:graphicData>
            </a:graphic>
          </wp:inline>
        </w:drawing>
      </w:r>
    </w:p>
    <w:p w14:paraId="12B22C8E" w14:textId="77777777" w:rsidR="00354DDA" w:rsidRDefault="00354DDA" w:rsidP="004A4E82">
      <w:pPr>
        <w:pStyle w:val="Default"/>
        <w:ind w:firstLine="567"/>
      </w:pPr>
      <w:r>
        <w:t xml:space="preserve">unde: </w:t>
      </w:r>
    </w:p>
    <w:p w14:paraId="586400F3" w14:textId="77777777" w:rsidR="00354DDA" w:rsidRDefault="00354DDA" w:rsidP="004A4E82">
      <w:pPr>
        <w:pStyle w:val="Default"/>
        <w:ind w:firstLine="567"/>
      </w:pPr>
      <w:r>
        <w:t xml:space="preserve">MF = factorul de ajustare în funcţie de scadenţă; </w:t>
      </w:r>
    </w:p>
    <w:p w14:paraId="0F85616B" w14:textId="77777777" w:rsidR="00354DDA" w:rsidRDefault="00354DDA" w:rsidP="004A4E82">
      <w:pPr>
        <w:pStyle w:val="Default"/>
        <w:ind w:firstLine="567"/>
        <w:jc w:val="both"/>
      </w:pPr>
      <w:r>
        <w:t xml:space="preserve">M = scadenţa reziduală a tranzacţiei care este egală cu perioada de timp necesară pentru încetarea tuturor obligaţiilor contractuale care decurg din tranzacţie; în acest scop, se consideră că orice opţionalitate a unui contract derivat este o obligaţie contractuală; scadenţa reziduală se exprimă în ani, utilizând convenţia privind zilele lucrătoare relevantă; </w:t>
      </w:r>
    </w:p>
    <w:p w14:paraId="0AF6F202" w14:textId="0FC85F42" w:rsidR="00354DDA" w:rsidRDefault="00BB1C42" w:rsidP="004A4E82">
      <w:pPr>
        <w:pStyle w:val="Default"/>
        <w:ind w:firstLine="567"/>
        <w:jc w:val="both"/>
      </w:pPr>
      <w:r>
        <w:t>Î</w:t>
      </w:r>
      <w:r w:rsidR="00354DDA">
        <w:t xml:space="preserve">n cazul în care o tranzacţie are ca instrument-suport un alt contract derivat care poate da naștere unor obligaţii contractuale suplimentare faţă de obligaţiile contractuale care decurg din tranzacţie, scadenţa reziduală a tranzacţiei este egală cu perioada de timp necesară pentru încetarea tuturor obligaţiilor contractuale aferente instrumentului- suport; </w:t>
      </w:r>
    </w:p>
    <w:p w14:paraId="3EAEE9AE" w14:textId="02110C6C" w:rsidR="00354DDA" w:rsidRDefault="00BB1C42" w:rsidP="004A4E82">
      <w:pPr>
        <w:pStyle w:val="Default"/>
        <w:ind w:firstLine="567"/>
        <w:jc w:val="both"/>
      </w:pPr>
      <w:r>
        <w:t>Î</w:t>
      </w:r>
      <w:r w:rsidR="00354DDA">
        <w:t xml:space="preserve">n cazul în care o tranzacţie este structurată astfel încât expunerea rămasă de rambursat să fie decontată după anumite date de plată specificate și </w:t>
      </w:r>
      <w:r w:rsidR="00354DDA" w:rsidRPr="00F7481F">
        <w:t>termenii</w:t>
      </w:r>
      <w:r w:rsidR="00354DDA">
        <w:t xml:space="preserve"> sunt revizuiţi astfel încât valoarea de </w:t>
      </w:r>
      <w:r w:rsidR="00354DDA">
        <w:lastRenderedPageBreak/>
        <w:t xml:space="preserve">piaţă a tranzacţiei să fie zero la datele specificate respective, scadenţa reziduală a tranzacţiei este egală cu perioada rămasă până la data următoarei revizuiri a termenilor; și </w:t>
      </w:r>
    </w:p>
    <w:p w14:paraId="57477F77" w14:textId="5D9025D9" w:rsidR="00354DDA" w:rsidRDefault="00354DDA" w:rsidP="004A4E82">
      <w:pPr>
        <w:pStyle w:val="Default"/>
        <w:ind w:firstLine="567"/>
        <w:jc w:val="both"/>
      </w:pPr>
      <w:r>
        <w:t>un exerciţiu financiar (OneBusinessYear) = un an exprimat în zile lucrătoare utilizând convenţia privind zilele lucrătoare relevantă;</w:t>
      </w:r>
    </w:p>
    <w:p w14:paraId="3E3E0747" w14:textId="33AD3660" w:rsidR="00354DDA" w:rsidRDefault="008551AC" w:rsidP="004A4E82">
      <w:pPr>
        <w:pStyle w:val="Default"/>
        <w:ind w:firstLine="567"/>
        <w:jc w:val="both"/>
      </w:pPr>
      <w:r>
        <w:rPr>
          <w:b/>
          <w:bCs/>
        </w:rPr>
        <w:t>6</w:t>
      </w:r>
      <w:r w:rsidR="00EA3FDE">
        <w:rPr>
          <w:b/>
          <w:bCs/>
        </w:rPr>
        <w:t>1</w:t>
      </w:r>
      <w:r w:rsidR="00E41AF6" w:rsidRPr="00CA27C5">
        <w:rPr>
          <w:b/>
          <w:bCs/>
        </w:rPr>
        <w:t>.</w:t>
      </w:r>
      <w:r w:rsidR="00354DDA">
        <w:t xml:space="preserve"> În sensul </w:t>
      </w:r>
      <w:r w:rsidR="00E41AF6" w:rsidRPr="006E50C3">
        <w:t xml:space="preserve">punctului </w:t>
      </w:r>
      <w:r w:rsidR="006E50C3">
        <w:t>60</w:t>
      </w:r>
      <w:r w:rsidR="00354DDA">
        <w:t xml:space="preserve">, scadenţa reziduală este egală cu perioada rămasă până la data următoarei revizuiri a </w:t>
      </w:r>
      <w:r w:rsidR="00354DDA" w:rsidRPr="00F7481F">
        <w:t>termenilor</w:t>
      </w:r>
      <w:r w:rsidR="00354DDA">
        <w:t xml:space="preserve"> tranzacţiilor care sunt structurate astfel încât expunerile rămase să fie decontate după anumite date de plată specificate și ai căror </w:t>
      </w:r>
      <w:r w:rsidR="00354DDA" w:rsidRPr="00F7481F">
        <w:t>termeni</w:t>
      </w:r>
      <w:r w:rsidR="00354DDA">
        <w:t xml:space="preserve"> sunt revizuiţi astfel încât valoarea de piaţă a contractului să fie zero la datele specificate respective. </w:t>
      </w:r>
    </w:p>
    <w:p w14:paraId="217D1E51" w14:textId="38F21CFD" w:rsidR="00E41AF6" w:rsidRDefault="00E41AF6"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11</w:t>
      </w:r>
      <w:r w:rsidR="0099409E">
        <w:rPr>
          <w:i/>
          <w:iCs/>
          <w:color w:val="000000"/>
        </w:rPr>
        <w:t>-a</w:t>
      </w:r>
    </w:p>
    <w:p w14:paraId="504B3558" w14:textId="6728A591" w:rsidR="00354DDA" w:rsidRPr="00CA27C5" w:rsidRDefault="00354DDA" w:rsidP="004A4E82">
      <w:pPr>
        <w:pStyle w:val="Default"/>
        <w:ind w:firstLine="567"/>
        <w:jc w:val="center"/>
        <w:rPr>
          <w:b/>
          <w:bCs/>
        </w:rPr>
      </w:pPr>
      <w:r w:rsidRPr="00CA27C5">
        <w:rPr>
          <w:b/>
          <w:bCs/>
        </w:rPr>
        <w:t xml:space="preserve">Coeficientul factorului impus de </w:t>
      </w:r>
      <w:r w:rsidR="004B5ABF" w:rsidRPr="00385EFD">
        <w:rPr>
          <w:b/>
          <w:bCs/>
        </w:rPr>
        <w:t>B</w:t>
      </w:r>
      <w:r w:rsidR="00385EFD" w:rsidRPr="00385EFD">
        <w:rPr>
          <w:b/>
          <w:bCs/>
        </w:rPr>
        <w:t xml:space="preserve">anca </w:t>
      </w:r>
      <w:r w:rsidR="004B5ABF" w:rsidRPr="00385EFD">
        <w:rPr>
          <w:b/>
          <w:bCs/>
        </w:rPr>
        <w:t>N</w:t>
      </w:r>
      <w:r w:rsidR="00385EFD" w:rsidRPr="00385EFD">
        <w:rPr>
          <w:b/>
          <w:bCs/>
        </w:rPr>
        <w:t xml:space="preserve">ațională a </w:t>
      </w:r>
      <w:r w:rsidR="004B5ABF" w:rsidRPr="00385EFD">
        <w:rPr>
          <w:b/>
          <w:bCs/>
        </w:rPr>
        <w:t>M</w:t>
      </w:r>
      <w:r w:rsidR="00385EFD" w:rsidRPr="00385EFD">
        <w:rPr>
          <w:b/>
          <w:bCs/>
        </w:rPr>
        <w:t>oldovei</w:t>
      </w:r>
      <w:r w:rsidRPr="00CA27C5">
        <w:rPr>
          <w:b/>
          <w:bCs/>
        </w:rPr>
        <w:t xml:space="preserve"> aferent setului de acoperire a riscului</w:t>
      </w:r>
    </w:p>
    <w:p w14:paraId="704A55BF" w14:textId="3E104BA0" w:rsidR="00354DDA" w:rsidRDefault="008551AC" w:rsidP="004A4E82">
      <w:pPr>
        <w:pStyle w:val="Default"/>
        <w:ind w:firstLine="567"/>
        <w:jc w:val="both"/>
      </w:pPr>
      <w:r>
        <w:rPr>
          <w:b/>
          <w:bCs/>
        </w:rPr>
        <w:t>6</w:t>
      </w:r>
      <w:r w:rsidR="00EA3FDE">
        <w:rPr>
          <w:b/>
          <w:bCs/>
        </w:rPr>
        <w:t>2</w:t>
      </w:r>
      <w:r w:rsidR="00B36BE3" w:rsidRPr="00CA27C5">
        <w:rPr>
          <w:b/>
          <w:bCs/>
        </w:rPr>
        <w:t>.</w:t>
      </w:r>
      <w:r w:rsidR="00B36BE3">
        <w:t xml:space="preserve"> </w:t>
      </w:r>
      <w:r w:rsidR="00354DDA">
        <w:t xml:space="preserve">Pentru calcularea majorării aferente unui set de acoperire a riscului, astfel cum este menţionată la </w:t>
      </w:r>
      <w:r w:rsidR="00CD3B64">
        <w:t>punctele 63-83</w:t>
      </w:r>
      <w:r w:rsidR="00354DDA">
        <w:t xml:space="preserve">, coeficientul factorului impus de </w:t>
      </w:r>
      <w:r w:rsidR="004B5ABF" w:rsidRPr="00385EFD">
        <w:t>B</w:t>
      </w:r>
      <w:r w:rsidR="00385EFD" w:rsidRPr="00385EFD">
        <w:t xml:space="preserve">anca </w:t>
      </w:r>
      <w:r w:rsidR="004B5ABF" w:rsidRPr="00385EFD">
        <w:t>N</w:t>
      </w:r>
      <w:r w:rsidR="00385EFD" w:rsidRPr="00385EFD">
        <w:t xml:space="preserve">ațională a </w:t>
      </w:r>
      <w:r w:rsidR="004B5ABF" w:rsidRPr="00385EFD">
        <w:t>M</w:t>
      </w:r>
      <w:r w:rsidR="00385EFD" w:rsidRPr="00385EFD">
        <w:t>oldovei</w:t>
      </w:r>
      <w:r w:rsidR="00354DDA">
        <w:t xml:space="preserve"> aferent setului de acoperire a riscului „є” este următorul: </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567"/>
        <w:gridCol w:w="8505"/>
      </w:tblGrid>
      <w:tr w:rsidR="00B36BE3" w14:paraId="2B5433B3" w14:textId="77777777" w:rsidTr="00006C2B">
        <w:tc>
          <w:tcPr>
            <w:tcW w:w="1101" w:type="dxa"/>
            <w:vMerge w:val="restart"/>
          </w:tcPr>
          <w:p w14:paraId="33AEB660" w14:textId="77777777" w:rsidR="00B36BE3" w:rsidRDefault="00B36BE3" w:rsidP="004A4E82">
            <w:pPr>
              <w:pStyle w:val="CM4"/>
              <w:spacing w:before="60" w:after="60"/>
              <w:ind w:firstLine="567"/>
              <w:rPr>
                <w:color w:val="000000"/>
              </w:rPr>
            </w:pPr>
          </w:p>
          <w:p w14:paraId="5097565E" w14:textId="77777777" w:rsidR="00B36BE3" w:rsidRPr="00C611C8" w:rsidRDefault="00B36BE3" w:rsidP="004A4E82">
            <w:pPr>
              <w:pStyle w:val="Default"/>
              <w:ind w:firstLine="567"/>
            </w:pPr>
          </w:p>
          <w:p w14:paraId="58D937A7" w14:textId="77777777" w:rsidR="00B36BE3" w:rsidRDefault="00B36BE3" w:rsidP="004A4E82">
            <w:pPr>
              <w:pStyle w:val="CM4"/>
              <w:spacing w:before="60" w:after="60"/>
              <w:ind w:firstLine="567"/>
              <w:rPr>
                <w:color w:val="000000"/>
              </w:rPr>
            </w:pPr>
            <w:r w:rsidRPr="00C611C8">
              <w:rPr>
                <w:color w:val="000000"/>
              </w:rPr>
              <w:t>є =</w:t>
            </w:r>
          </w:p>
        </w:tc>
        <w:tc>
          <w:tcPr>
            <w:tcW w:w="567" w:type="dxa"/>
            <w:vMerge w:val="restart"/>
          </w:tcPr>
          <w:p w14:paraId="2038E3E7" w14:textId="77777777" w:rsidR="00B36BE3" w:rsidRPr="00C611C8" w:rsidRDefault="00B36BE3" w:rsidP="00006C2B">
            <w:pPr>
              <w:pStyle w:val="CM4"/>
              <w:spacing w:before="60" w:after="60"/>
              <w:rPr>
                <w:color w:val="000000"/>
                <w:sz w:val="96"/>
                <w:szCs w:val="96"/>
              </w:rPr>
            </w:pPr>
            <w:r w:rsidRPr="00C611C8">
              <w:rPr>
                <w:color w:val="000000"/>
                <w:sz w:val="96"/>
                <w:szCs w:val="96"/>
              </w:rPr>
              <w:t>{</w:t>
            </w:r>
          </w:p>
        </w:tc>
        <w:tc>
          <w:tcPr>
            <w:tcW w:w="8505" w:type="dxa"/>
          </w:tcPr>
          <w:p w14:paraId="418BCD6A" w14:textId="1927B849" w:rsidR="00B36BE3" w:rsidRPr="00CD3B64" w:rsidRDefault="00B36BE3" w:rsidP="00006C2B">
            <w:pPr>
              <w:pStyle w:val="CM4"/>
              <w:spacing w:before="60" w:after="60"/>
              <w:rPr>
                <w:color w:val="000000"/>
                <w:sz w:val="22"/>
                <w:szCs w:val="22"/>
              </w:rPr>
            </w:pPr>
            <w:r w:rsidRPr="00CD3B64">
              <w:rPr>
                <w:color w:val="000000"/>
                <w:sz w:val="22"/>
                <w:szCs w:val="22"/>
              </w:rPr>
              <w:t xml:space="preserve">1 pentru seturile de acoperire a riscurilor stabilite în conformitate cu punctul </w:t>
            </w:r>
            <w:r w:rsidR="00EC39DB">
              <w:rPr>
                <w:color w:val="000000"/>
                <w:sz w:val="22"/>
                <w:szCs w:val="22"/>
              </w:rPr>
              <w:t>48</w:t>
            </w:r>
          </w:p>
        </w:tc>
      </w:tr>
      <w:tr w:rsidR="00B36BE3" w14:paraId="7F58293D" w14:textId="77777777" w:rsidTr="00006C2B">
        <w:tc>
          <w:tcPr>
            <w:tcW w:w="1101" w:type="dxa"/>
            <w:vMerge/>
          </w:tcPr>
          <w:p w14:paraId="58502BD9" w14:textId="77777777" w:rsidR="00B36BE3" w:rsidRDefault="00B36BE3" w:rsidP="004A4E82">
            <w:pPr>
              <w:pStyle w:val="CM4"/>
              <w:spacing w:before="60" w:after="60"/>
              <w:ind w:firstLine="567"/>
              <w:rPr>
                <w:color w:val="000000"/>
              </w:rPr>
            </w:pPr>
          </w:p>
        </w:tc>
        <w:tc>
          <w:tcPr>
            <w:tcW w:w="567" w:type="dxa"/>
            <w:vMerge/>
          </w:tcPr>
          <w:p w14:paraId="16AF0B29" w14:textId="77777777" w:rsidR="00B36BE3" w:rsidRDefault="00B36BE3" w:rsidP="004A4E82">
            <w:pPr>
              <w:pStyle w:val="CM4"/>
              <w:spacing w:before="60" w:after="60"/>
              <w:ind w:firstLine="567"/>
              <w:rPr>
                <w:color w:val="000000"/>
              </w:rPr>
            </w:pPr>
          </w:p>
        </w:tc>
        <w:tc>
          <w:tcPr>
            <w:tcW w:w="8505" w:type="dxa"/>
          </w:tcPr>
          <w:p w14:paraId="544BE9E0" w14:textId="2F53A7A3" w:rsidR="00B36BE3" w:rsidRPr="00CD3B64" w:rsidRDefault="00B36BE3" w:rsidP="00006C2B">
            <w:pPr>
              <w:pStyle w:val="CM4"/>
              <w:spacing w:before="60" w:after="60"/>
              <w:rPr>
                <w:color w:val="000000"/>
                <w:sz w:val="22"/>
                <w:szCs w:val="22"/>
              </w:rPr>
            </w:pPr>
            <w:r w:rsidRPr="00CD3B64">
              <w:rPr>
                <w:color w:val="000000"/>
                <w:sz w:val="22"/>
                <w:szCs w:val="22"/>
              </w:rPr>
              <w:t xml:space="preserve">5 pentru seturile de acoperire a riscurilor stabilite în conformitate cu punctul </w:t>
            </w:r>
            <w:r w:rsidR="00EC39DB">
              <w:rPr>
                <w:color w:val="000000"/>
                <w:sz w:val="22"/>
                <w:szCs w:val="22"/>
              </w:rPr>
              <w:t>49</w:t>
            </w:r>
            <w:r w:rsidRPr="00CD3B64">
              <w:rPr>
                <w:color w:val="000000"/>
                <w:sz w:val="22"/>
                <w:szCs w:val="22"/>
              </w:rPr>
              <w:t xml:space="preserve"> </w:t>
            </w:r>
            <w:r w:rsidR="00CD3B64" w:rsidRPr="00CD3B64">
              <w:rPr>
                <w:color w:val="000000"/>
                <w:sz w:val="22"/>
                <w:szCs w:val="22"/>
              </w:rPr>
              <w:t xml:space="preserve">subpunctul 1) </w:t>
            </w:r>
          </w:p>
        </w:tc>
      </w:tr>
      <w:tr w:rsidR="00B36BE3" w14:paraId="75FB89B6" w14:textId="77777777" w:rsidTr="00006C2B">
        <w:tc>
          <w:tcPr>
            <w:tcW w:w="1101" w:type="dxa"/>
            <w:vMerge/>
          </w:tcPr>
          <w:p w14:paraId="7432F474" w14:textId="77777777" w:rsidR="00B36BE3" w:rsidRDefault="00B36BE3" w:rsidP="004A4E82">
            <w:pPr>
              <w:pStyle w:val="CM4"/>
              <w:spacing w:before="60" w:after="60"/>
              <w:ind w:firstLine="567"/>
              <w:rPr>
                <w:color w:val="000000"/>
              </w:rPr>
            </w:pPr>
          </w:p>
        </w:tc>
        <w:tc>
          <w:tcPr>
            <w:tcW w:w="567" w:type="dxa"/>
            <w:vMerge/>
          </w:tcPr>
          <w:p w14:paraId="61D90A8A" w14:textId="77777777" w:rsidR="00B36BE3" w:rsidRDefault="00B36BE3" w:rsidP="004A4E82">
            <w:pPr>
              <w:pStyle w:val="CM4"/>
              <w:spacing w:before="60" w:after="60"/>
              <w:ind w:firstLine="567"/>
              <w:rPr>
                <w:color w:val="000000"/>
              </w:rPr>
            </w:pPr>
          </w:p>
        </w:tc>
        <w:tc>
          <w:tcPr>
            <w:tcW w:w="8505" w:type="dxa"/>
          </w:tcPr>
          <w:p w14:paraId="5E762879" w14:textId="0028E354" w:rsidR="00B36BE3" w:rsidRPr="00CD3B64" w:rsidRDefault="00B36BE3" w:rsidP="00006C2B">
            <w:pPr>
              <w:pStyle w:val="CM4"/>
              <w:spacing w:before="60" w:after="60"/>
              <w:rPr>
                <w:color w:val="000000"/>
                <w:sz w:val="22"/>
                <w:szCs w:val="22"/>
              </w:rPr>
            </w:pPr>
            <w:r w:rsidRPr="00CD3B64">
              <w:rPr>
                <w:color w:val="000000"/>
                <w:sz w:val="22"/>
                <w:szCs w:val="22"/>
              </w:rPr>
              <w:t xml:space="preserve">0,5 pentru seturile de acoperire a riscurilor stabilite în conformitate cu punctul </w:t>
            </w:r>
            <w:r w:rsidR="00EC39DB">
              <w:rPr>
                <w:color w:val="000000"/>
                <w:sz w:val="22"/>
                <w:szCs w:val="22"/>
              </w:rPr>
              <w:t>49</w:t>
            </w:r>
            <w:r w:rsidRPr="00CD3B64">
              <w:rPr>
                <w:color w:val="000000"/>
                <w:sz w:val="22"/>
                <w:szCs w:val="22"/>
              </w:rPr>
              <w:t xml:space="preserve"> </w:t>
            </w:r>
            <w:r w:rsidR="00CD3B64" w:rsidRPr="00CD3B64">
              <w:rPr>
                <w:color w:val="000000"/>
                <w:sz w:val="22"/>
                <w:szCs w:val="22"/>
              </w:rPr>
              <w:t>subpunctul 2)</w:t>
            </w:r>
          </w:p>
        </w:tc>
      </w:tr>
    </w:tbl>
    <w:p w14:paraId="4FA79A9E" w14:textId="1FAF1514" w:rsidR="00B36BE3" w:rsidRDefault="00B36BE3"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12</w:t>
      </w:r>
      <w:r w:rsidR="0099409E">
        <w:rPr>
          <w:i/>
          <w:iCs/>
          <w:color w:val="000000"/>
        </w:rPr>
        <w:t>-a</w:t>
      </w:r>
    </w:p>
    <w:p w14:paraId="7C3AD57E" w14:textId="77777777" w:rsidR="00354DDA" w:rsidRPr="00CA27C5" w:rsidRDefault="00354DDA" w:rsidP="004A4E82">
      <w:pPr>
        <w:pStyle w:val="Default"/>
        <w:ind w:firstLine="567"/>
        <w:jc w:val="center"/>
        <w:rPr>
          <w:b/>
          <w:bCs/>
        </w:rPr>
      </w:pPr>
      <w:r w:rsidRPr="00CA27C5">
        <w:rPr>
          <w:b/>
          <w:bCs/>
        </w:rPr>
        <w:t>Majorarea pentru categoria de risc de rată a dobânzii</w:t>
      </w:r>
    </w:p>
    <w:p w14:paraId="781D2F7E" w14:textId="2A4D0B2A" w:rsidR="00354DDA" w:rsidRDefault="008551AC" w:rsidP="004A4E82">
      <w:pPr>
        <w:pStyle w:val="Default"/>
        <w:ind w:firstLine="567"/>
      </w:pPr>
      <w:r>
        <w:rPr>
          <w:b/>
          <w:bCs/>
        </w:rPr>
        <w:t>6</w:t>
      </w:r>
      <w:r w:rsidR="00EA3FDE">
        <w:rPr>
          <w:b/>
          <w:bCs/>
        </w:rPr>
        <w:t>3</w:t>
      </w:r>
      <w:r w:rsidR="00052396" w:rsidRPr="00CA27C5">
        <w:rPr>
          <w:b/>
          <w:bCs/>
        </w:rPr>
        <w:t>.</w:t>
      </w:r>
      <w:r w:rsidR="00354DDA">
        <w:t xml:space="preserve"> În sensul </w:t>
      </w:r>
      <w:r w:rsidR="00CF39C8" w:rsidRPr="00EC39DB">
        <w:t xml:space="preserve">punctelor </w:t>
      </w:r>
      <w:r w:rsidR="00EC39DB" w:rsidRPr="00CA27C5">
        <w:t>51</w:t>
      </w:r>
      <w:r w:rsidR="00CF39C8" w:rsidRPr="00EC39DB">
        <w:t>-</w:t>
      </w:r>
      <w:r w:rsidR="00EC39DB">
        <w:t>53</w:t>
      </w:r>
      <w:r w:rsidR="00354DDA">
        <w:t xml:space="preserve">, </w:t>
      </w:r>
      <w:r w:rsidR="00CF39C8">
        <w:t>băncile</w:t>
      </w:r>
      <w:r w:rsidR="00354DDA">
        <w:t xml:space="preserve"> calculează majorarea aferentă categoriei de risc de rată a dobânzii pentru un anumit set de compensare după cum urmează: </w:t>
      </w:r>
    </w:p>
    <w:p w14:paraId="12B3E432" w14:textId="635AC5D1" w:rsidR="00354DDA" w:rsidRDefault="00CF39C8" w:rsidP="004A4E82">
      <w:pPr>
        <w:pStyle w:val="Default"/>
        <w:ind w:firstLine="567"/>
        <w:jc w:val="center"/>
      </w:pPr>
      <w:r>
        <w:rPr>
          <w:noProof/>
          <w:lang w:val="en-US"/>
        </w:rPr>
        <w:drawing>
          <wp:inline distT="0" distB="0" distL="0" distR="0" wp14:anchorId="5E187264" wp14:editId="6AE94A21">
            <wp:extent cx="2182483" cy="499745"/>
            <wp:effectExtent l="0" t="0" r="8890" b="0"/>
            <wp:docPr id="1424947449"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1888" cy="504188"/>
                    </a:xfrm>
                    <a:prstGeom prst="rect">
                      <a:avLst/>
                    </a:prstGeom>
                    <a:noFill/>
                    <a:ln>
                      <a:noFill/>
                    </a:ln>
                  </pic:spPr>
                </pic:pic>
              </a:graphicData>
            </a:graphic>
          </wp:inline>
        </w:drawing>
      </w:r>
    </w:p>
    <w:p w14:paraId="1A46098A" w14:textId="77777777" w:rsidR="00354DDA" w:rsidRDefault="00354DDA" w:rsidP="004A4E82">
      <w:pPr>
        <w:pStyle w:val="Default"/>
        <w:ind w:firstLine="567"/>
        <w:jc w:val="both"/>
      </w:pPr>
      <w:r>
        <w:t xml:space="preserve">unde: </w:t>
      </w:r>
    </w:p>
    <w:p w14:paraId="0BE8AF87" w14:textId="77777777" w:rsidR="00354DDA" w:rsidRDefault="00354DDA" w:rsidP="004A4E82">
      <w:pPr>
        <w:pStyle w:val="Default"/>
        <w:ind w:firstLine="567"/>
        <w:jc w:val="both"/>
      </w:pPr>
      <w:r>
        <w:t>AddOn</w:t>
      </w:r>
      <w:r w:rsidRPr="00CA27C5">
        <w:rPr>
          <w:vertAlign w:val="superscript"/>
        </w:rPr>
        <w:t xml:space="preserve">IR </w:t>
      </w:r>
      <w:r>
        <w:t xml:space="preserve">= majorarea categoriei de risc de rată a dobânzii; </w:t>
      </w:r>
    </w:p>
    <w:p w14:paraId="78A290F3" w14:textId="5963F901" w:rsidR="00354DDA" w:rsidRDefault="00354DDA" w:rsidP="004A4E82">
      <w:pPr>
        <w:pStyle w:val="Default"/>
        <w:ind w:firstLine="567"/>
        <w:jc w:val="both"/>
      </w:pPr>
      <w:r>
        <w:t xml:space="preserve">j = indicele care desemnează toate seturile de acoperire a riscului de rată a dobânzii stabilite în conformitate cu </w:t>
      </w:r>
      <w:r w:rsidR="00500AC3" w:rsidRPr="00EC39DB">
        <w:t xml:space="preserve">punctul </w:t>
      </w:r>
      <w:r w:rsidR="00EC39DB" w:rsidRPr="00EC39DB">
        <w:t>4</w:t>
      </w:r>
      <w:r w:rsidR="00EC39DB">
        <w:t>8</w:t>
      </w:r>
      <w:r w:rsidR="00EC39DB" w:rsidRPr="00EC39DB">
        <w:t xml:space="preserve"> subpunctul 1) </w:t>
      </w:r>
      <w:r>
        <w:t xml:space="preserve">și cu </w:t>
      </w:r>
      <w:r w:rsidR="00500AC3" w:rsidRPr="00EC39DB">
        <w:t xml:space="preserve">punctul </w:t>
      </w:r>
      <w:r w:rsidR="00EC39DB" w:rsidRPr="00EC39DB">
        <w:t>4</w:t>
      </w:r>
      <w:r w:rsidR="00EC39DB">
        <w:t xml:space="preserve">9 </w:t>
      </w:r>
      <w:r>
        <w:t xml:space="preserve">pentru setul de compensare; și </w:t>
      </w:r>
    </w:p>
    <w:p w14:paraId="0F9FC25A" w14:textId="4DF88DE6" w:rsidR="00354DDA" w:rsidRDefault="00500AC3" w:rsidP="004A4E82">
      <w:pPr>
        <w:pStyle w:val="Default"/>
        <w:ind w:firstLine="567"/>
        <w:jc w:val="both"/>
      </w:pPr>
      <w:r>
        <w:rPr>
          <w:noProof/>
          <w:lang w:val="en-US"/>
        </w:rPr>
        <w:drawing>
          <wp:inline distT="0" distB="0" distL="0" distR="0" wp14:anchorId="10544D21" wp14:editId="0D1FB2FF">
            <wp:extent cx="638355" cy="252933"/>
            <wp:effectExtent l="0" t="0" r="0" b="0"/>
            <wp:docPr id="11116067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972" cy="259517"/>
                    </a:xfrm>
                    <a:prstGeom prst="rect">
                      <a:avLst/>
                    </a:prstGeom>
                    <a:noFill/>
                  </pic:spPr>
                </pic:pic>
              </a:graphicData>
            </a:graphic>
          </wp:inline>
        </w:drawing>
      </w:r>
      <w:r w:rsidR="00354DDA">
        <w:t xml:space="preserve">= majorarea categoriei de risc de rată a dobânzii pentru setul de acoperire a riscului j calculat în conformitate cu </w:t>
      </w:r>
      <w:r w:rsidR="00EC39DB">
        <w:t>punctul 64</w:t>
      </w:r>
      <w:r w:rsidR="00354DDA">
        <w:t xml:space="preserve">. </w:t>
      </w:r>
    </w:p>
    <w:p w14:paraId="7EEFA4C6" w14:textId="38F42DAC" w:rsidR="00354DDA" w:rsidRDefault="008551AC" w:rsidP="004A4E82">
      <w:pPr>
        <w:pStyle w:val="Default"/>
        <w:ind w:firstLine="567"/>
        <w:jc w:val="both"/>
      </w:pPr>
      <w:r>
        <w:rPr>
          <w:b/>
          <w:bCs/>
        </w:rPr>
        <w:t>6</w:t>
      </w:r>
      <w:r w:rsidR="00EA3FDE">
        <w:rPr>
          <w:b/>
          <w:bCs/>
        </w:rPr>
        <w:t>4</w:t>
      </w:r>
      <w:r w:rsidR="00500AC3" w:rsidRPr="00CA27C5">
        <w:rPr>
          <w:b/>
          <w:bCs/>
        </w:rPr>
        <w:t>.</w:t>
      </w:r>
      <w:r w:rsidR="00354DDA">
        <w:t xml:space="preserve"> </w:t>
      </w:r>
      <w:r w:rsidR="00500AC3">
        <w:t>Băncile</w:t>
      </w:r>
      <w:r w:rsidR="00354DDA">
        <w:t xml:space="preserve"> calculează majorarea pentru setul de acoperire a riscului j aferentă categoriei de risc de rată a dobânzii astfel: </w:t>
      </w:r>
    </w:p>
    <w:p w14:paraId="4A9134F8" w14:textId="60E6C8EF" w:rsidR="00354DDA" w:rsidRDefault="00500AC3" w:rsidP="004A4E82">
      <w:pPr>
        <w:pStyle w:val="Default"/>
        <w:ind w:firstLine="567"/>
        <w:jc w:val="center"/>
      </w:pPr>
      <w:r>
        <w:rPr>
          <w:noProof/>
          <w:lang w:val="en-US"/>
        </w:rPr>
        <w:drawing>
          <wp:inline distT="0" distB="0" distL="0" distR="0" wp14:anchorId="452F6AC0" wp14:editId="471F3213">
            <wp:extent cx="3028950" cy="409575"/>
            <wp:effectExtent l="0" t="0" r="0" b="9525"/>
            <wp:docPr id="3501880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0" cy="409575"/>
                    </a:xfrm>
                    <a:prstGeom prst="rect">
                      <a:avLst/>
                    </a:prstGeom>
                    <a:noFill/>
                  </pic:spPr>
                </pic:pic>
              </a:graphicData>
            </a:graphic>
          </wp:inline>
        </w:drawing>
      </w:r>
    </w:p>
    <w:p w14:paraId="3FA9DD71" w14:textId="77777777" w:rsidR="00354DDA" w:rsidRDefault="00354DDA" w:rsidP="004A4E82">
      <w:pPr>
        <w:pStyle w:val="Default"/>
        <w:ind w:firstLine="567"/>
      </w:pPr>
      <w:r>
        <w:t xml:space="preserve">unde: </w:t>
      </w:r>
    </w:p>
    <w:p w14:paraId="72A11F99" w14:textId="71668314" w:rsidR="00354DDA" w:rsidRDefault="00354DDA" w:rsidP="004A4E82">
      <w:pPr>
        <w:pStyle w:val="Default"/>
        <w:ind w:firstLine="567"/>
        <w:jc w:val="both"/>
      </w:pPr>
      <w:r>
        <w:t xml:space="preserve">є j = coeficientul factorului impus de </w:t>
      </w:r>
      <w:r w:rsidR="004B5ABF" w:rsidRPr="00385EFD">
        <w:t>B</w:t>
      </w:r>
      <w:r w:rsidR="00385EFD" w:rsidRPr="00385EFD">
        <w:t xml:space="preserve">anca </w:t>
      </w:r>
      <w:r w:rsidR="004B5ABF" w:rsidRPr="00385EFD">
        <w:t>N</w:t>
      </w:r>
      <w:r w:rsidR="00385EFD" w:rsidRPr="00385EFD">
        <w:t xml:space="preserve">ațională a </w:t>
      </w:r>
      <w:r w:rsidR="004B5ABF" w:rsidRPr="00385EFD">
        <w:t>M</w:t>
      </w:r>
      <w:r w:rsidR="00385EFD" w:rsidRPr="00385EFD">
        <w:t>oldovei</w:t>
      </w:r>
      <w:r>
        <w:t xml:space="preserve"> aferent setului de acoperire a riscului pentru setul de acoperire a riscului j determinat în conformitate cu valoarea aplicabilă specificată la </w:t>
      </w:r>
      <w:r w:rsidR="00C966E2" w:rsidRPr="00EC39DB">
        <w:t xml:space="preserve">punctul </w:t>
      </w:r>
      <w:r w:rsidR="00EC39DB" w:rsidRPr="00EC39DB">
        <w:t>6</w:t>
      </w:r>
      <w:r w:rsidR="00EC39DB">
        <w:t>2</w:t>
      </w:r>
      <w:r>
        <w:t xml:space="preserve">; </w:t>
      </w:r>
    </w:p>
    <w:p w14:paraId="2A4631D6" w14:textId="4B5EB6C8" w:rsidR="00354DDA" w:rsidRDefault="00354DDA" w:rsidP="00385EFD">
      <w:pPr>
        <w:pStyle w:val="Default"/>
        <w:ind w:firstLine="567"/>
        <w:jc w:val="both"/>
      </w:pPr>
      <w:r>
        <w:t>SF</w:t>
      </w:r>
      <w:r w:rsidRPr="00CA27C5">
        <w:rPr>
          <w:vertAlign w:val="superscript"/>
        </w:rPr>
        <w:t>IR</w:t>
      </w:r>
      <w:r>
        <w:t xml:space="preserve"> = factorul impus de </w:t>
      </w:r>
      <w:r w:rsidR="00385EFD" w:rsidRPr="00385EFD">
        <w:t>Banca Națională a Moldovei</w:t>
      </w:r>
      <w:r>
        <w:t xml:space="preserve"> pentru categoria de risc de rată a</w:t>
      </w:r>
      <w:r w:rsidR="00385EFD">
        <w:t xml:space="preserve"> </w:t>
      </w:r>
      <w:r>
        <w:t>dobânzii cu o valoare egală cu 0,5 %; și</w:t>
      </w:r>
    </w:p>
    <w:p w14:paraId="61F29EF4" w14:textId="3AE53A46" w:rsidR="00354DDA" w:rsidRDefault="00354DDA" w:rsidP="004A4E82">
      <w:pPr>
        <w:pStyle w:val="Default"/>
        <w:ind w:firstLine="567"/>
      </w:pPr>
      <w:r>
        <w:t xml:space="preserve"> </w:t>
      </w:r>
      <w:r w:rsidR="008F4EE5">
        <w:rPr>
          <w:noProof/>
          <w:lang w:val="en-US"/>
        </w:rPr>
        <w:drawing>
          <wp:inline distT="0" distB="0" distL="0" distR="0" wp14:anchorId="41995C9C" wp14:editId="3382A936">
            <wp:extent cx="569343" cy="238179"/>
            <wp:effectExtent l="0" t="0" r="2540" b="0"/>
            <wp:docPr id="869402457"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736" cy="245874"/>
                    </a:xfrm>
                    <a:prstGeom prst="rect">
                      <a:avLst/>
                    </a:prstGeom>
                    <a:noFill/>
                    <a:ln>
                      <a:noFill/>
                    </a:ln>
                  </pic:spPr>
                </pic:pic>
              </a:graphicData>
            </a:graphic>
          </wp:inline>
        </w:drawing>
      </w:r>
      <w:r>
        <w:t xml:space="preserve"> = valoarea noţională efectivă a setului de acoperire a riscului j calculată în conformitate cu </w:t>
      </w:r>
      <w:r w:rsidR="008F4EE5" w:rsidRPr="00EC39DB">
        <w:t xml:space="preserve">punctul </w:t>
      </w:r>
      <w:r w:rsidR="00EC39DB" w:rsidRPr="00CA27C5">
        <w:t>65</w:t>
      </w:r>
      <w:r w:rsidR="008F4EE5" w:rsidRPr="00EC39DB">
        <w:t>.</w:t>
      </w:r>
      <w:r>
        <w:t xml:space="preserve"> </w:t>
      </w:r>
    </w:p>
    <w:p w14:paraId="33C8EA08" w14:textId="74BBA7AA" w:rsidR="00354DDA" w:rsidRDefault="008551AC" w:rsidP="004A4E82">
      <w:pPr>
        <w:pStyle w:val="Default"/>
        <w:ind w:firstLine="567"/>
        <w:jc w:val="both"/>
      </w:pPr>
      <w:r>
        <w:rPr>
          <w:b/>
          <w:bCs/>
        </w:rPr>
        <w:t>6</w:t>
      </w:r>
      <w:r w:rsidR="004B1CE6">
        <w:rPr>
          <w:b/>
          <w:bCs/>
        </w:rPr>
        <w:t>5</w:t>
      </w:r>
      <w:r w:rsidR="008F4EE5" w:rsidRPr="00CA27C5">
        <w:rPr>
          <w:b/>
          <w:bCs/>
        </w:rPr>
        <w:t>.</w:t>
      </w:r>
      <w:r w:rsidR="00354DDA">
        <w:t xml:space="preserve"> Pentru a calcula valoarea noţională efectivă a setului de acoperire a riscului j,</w:t>
      </w:r>
      <w:r w:rsidR="008F4EE5">
        <w:t xml:space="preserve"> băncile</w:t>
      </w:r>
      <w:r w:rsidR="00354DDA">
        <w:t xml:space="preserve"> încadrează mai întâi fiecare tranzacţie din setul de acoperire a riscului în banda corespunzătoare din </w:t>
      </w:r>
      <w:r w:rsidR="00354DDA">
        <w:lastRenderedPageBreak/>
        <w:t xml:space="preserve">tabelul 2. </w:t>
      </w:r>
      <w:r w:rsidR="008F4EE5">
        <w:t>Băncile</w:t>
      </w:r>
      <w:r w:rsidR="00354DDA">
        <w:t xml:space="preserve"> fac acest lucru pe baza datei de încetare a fiecărei tranzacţii, determinată în conformitate cu </w:t>
      </w:r>
      <w:r w:rsidR="00924205">
        <w:t>punctul 57 subpunctul 1):</w:t>
      </w:r>
      <w:r w:rsidR="00354DDA">
        <w:t xml:space="preserve"> </w:t>
      </w:r>
    </w:p>
    <w:p w14:paraId="3DC70441" w14:textId="77777777" w:rsidR="00354DDA" w:rsidRPr="00CA27C5" w:rsidRDefault="00354DDA" w:rsidP="004A4E82">
      <w:pPr>
        <w:pStyle w:val="Default"/>
        <w:ind w:firstLine="567"/>
        <w:jc w:val="right"/>
        <w:rPr>
          <w:i/>
          <w:iCs/>
        </w:rPr>
      </w:pPr>
      <w:r>
        <w:t xml:space="preserve">          </w:t>
      </w:r>
      <w:r w:rsidRPr="00CA27C5">
        <w:rPr>
          <w:i/>
          <w:iCs/>
        </w:rPr>
        <w:t>Tabelul 2</w:t>
      </w:r>
    </w:p>
    <w:tbl>
      <w:tblPr>
        <w:tblStyle w:val="TableGrid"/>
        <w:tblW w:w="4388" w:type="dxa"/>
        <w:tblInd w:w="3008" w:type="dxa"/>
        <w:tblLook w:val="04A0" w:firstRow="1" w:lastRow="0" w:firstColumn="1" w:lastColumn="0" w:noHBand="0" w:noVBand="1"/>
      </w:tblPr>
      <w:tblGrid>
        <w:gridCol w:w="1258"/>
        <w:gridCol w:w="3130"/>
      </w:tblGrid>
      <w:tr w:rsidR="008F4EE5" w:rsidRPr="00976432" w14:paraId="3301C85E" w14:textId="77777777" w:rsidTr="000642F1">
        <w:trPr>
          <w:trHeight w:val="318"/>
        </w:trPr>
        <w:tc>
          <w:tcPr>
            <w:tcW w:w="1258" w:type="dxa"/>
          </w:tcPr>
          <w:p w14:paraId="5E057D4C" w14:textId="77777777" w:rsidR="008F4EE5" w:rsidRPr="00976432" w:rsidRDefault="008F4EE5" w:rsidP="002A4E97">
            <w:pPr>
              <w:pStyle w:val="Default"/>
            </w:pPr>
            <w:r w:rsidRPr="00976432">
              <w:t>Banda</w:t>
            </w:r>
          </w:p>
        </w:tc>
        <w:tc>
          <w:tcPr>
            <w:tcW w:w="3130" w:type="dxa"/>
          </w:tcPr>
          <w:p w14:paraId="13A4C40C" w14:textId="77777777" w:rsidR="008F4EE5" w:rsidRPr="00976432" w:rsidRDefault="008F4EE5" w:rsidP="004A4E82">
            <w:pPr>
              <w:pStyle w:val="Default"/>
              <w:ind w:firstLine="567"/>
              <w:jc w:val="center"/>
            </w:pPr>
            <w:r w:rsidRPr="00976432">
              <w:t>Data de încetare (în ani)</w:t>
            </w:r>
          </w:p>
        </w:tc>
      </w:tr>
      <w:tr w:rsidR="008F4EE5" w:rsidRPr="00976432" w14:paraId="72C4C656" w14:textId="77777777" w:rsidTr="000642F1">
        <w:trPr>
          <w:trHeight w:val="338"/>
        </w:trPr>
        <w:tc>
          <w:tcPr>
            <w:tcW w:w="1258" w:type="dxa"/>
          </w:tcPr>
          <w:p w14:paraId="667086FA" w14:textId="77777777" w:rsidR="008F4EE5" w:rsidRPr="00976432" w:rsidRDefault="008F4EE5" w:rsidP="004A4E82">
            <w:pPr>
              <w:pStyle w:val="Default"/>
              <w:ind w:firstLine="567"/>
              <w:jc w:val="center"/>
            </w:pPr>
            <w:r w:rsidRPr="00976432">
              <w:t>1</w:t>
            </w:r>
          </w:p>
        </w:tc>
        <w:tc>
          <w:tcPr>
            <w:tcW w:w="3130" w:type="dxa"/>
          </w:tcPr>
          <w:p w14:paraId="05F713F1" w14:textId="77777777" w:rsidR="008F4EE5" w:rsidRPr="00976432" w:rsidRDefault="008F4EE5" w:rsidP="004A4E82">
            <w:pPr>
              <w:pStyle w:val="Default"/>
              <w:ind w:firstLine="567"/>
              <w:jc w:val="center"/>
            </w:pPr>
            <w:r w:rsidRPr="00976432">
              <w:t>&gt;0 și &lt;=1</w:t>
            </w:r>
          </w:p>
        </w:tc>
      </w:tr>
      <w:tr w:rsidR="008F4EE5" w:rsidRPr="00976432" w14:paraId="3B820257" w14:textId="77777777" w:rsidTr="000642F1">
        <w:trPr>
          <w:trHeight w:val="267"/>
        </w:trPr>
        <w:tc>
          <w:tcPr>
            <w:tcW w:w="1258" w:type="dxa"/>
          </w:tcPr>
          <w:p w14:paraId="01F9BD85" w14:textId="77777777" w:rsidR="008F4EE5" w:rsidRPr="00976432" w:rsidRDefault="008F4EE5" w:rsidP="004A4E82">
            <w:pPr>
              <w:pStyle w:val="Default"/>
              <w:ind w:firstLine="567"/>
              <w:jc w:val="center"/>
            </w:pPr>
            <w:r w:rsidRPr="00976432">
              <w:t>2</w:t>
            </w:r>
          </w:p>
        </w:tc>
        <w:tc>
          <w:tcPr>
            <w:tcW w:w="3130" w:type="dxa"/>
          </w:tcPr>
          <w:p w14:paraId="64E8368F" w14:textId="77777777" w:rsidR="008F4EE5" w:rsidRPr="00976432" w:rsidRDefault="008F4EE5" w:rsidP="004A4E82">
            <w:pPr>
              <w:pStyle w:val="Default"/>
              <w:ind w:firstLine="567"/>
              <w:jc w:val="center"/>
            </w:pPr>
            <w:r w:rsidRPr="00976432">
              <w:t>&gt;1 și &lt;= 5</w:t>
            </w:r>
          </w:p>
        </w:tc>
      </w:tr>
      <w:tr w:rsidR="008F4EE5" w:rsidRPr="00976432" w14:paraId="7FBEE23B" w14:textId="77777777" w:rsidTr="000642F1">
        <w:trPr>
          <w:trHeight w:val="379"/>
        </w:trPr>
        <w:tc>
          <w:tcPr>
            <w:tcW w:w="1258" w:type="dxa"/>
          </w:tcPr>
          <w:p w14:paraId="05A08DCA" w14:textId="77777777" w:rsidR="008F4EE5" w:rsidRPr="00976432" w:rsidRDefault="008F4EE5" w:rsidP="004A4E82">
            <w:pPr>
              <w:pStyle w:val="Default"/>
              <w:ind w:firstLine="567"/>
              <w:jc w:val="center"/>
            </w:pPr>
            <w:r w:rsidRPr="00976432">
              <w:t>3</w:t>
            </w:r>
          </w:p>
        </w:tc>
        <w:tc>
          <w:tcPr>
            <w:tcW w:w="3130" w:type="dxa"/>
          </w:tcPr>
          <w:p w14:paraId="7B6C2B1D" w14:textId="77777777" w:rsidR="008F4EE5" w:rsidRPr="00976432" w:rsidRDefault="008F4EE5" w:rsidP="004A4E82">
            <w:pPr>
              <w:pStyle w:val="Default"/>
              <w:ind w:firstLine="567"/>
              <w:jc w:val="center"/>
            </w:pPr>
            <w:r w:rsidRPr="00976432">
              <w:t>&gt; 5</w:t>
            </w:r>
          </w:p>
        </w:tc>
      </w:tr>
    </w:tbl>
    <w:p w14:paraId="2A5E48EE" w14:textId="77777777" w:rsidR="00354DDA" w:rsidRDefault="00354DDA" w:rsidP="004A4E82">
      <w:pPr>
        <w:pStyle w:val="Default"/>
        <w:ind w:firstLine="567"/>
      </w:pPr>
    </w:p>
    <w:p w14:paraId="7E209345" w14:textId="47E95297" w:rsidR="00354DDA" w:rsidRDefault="008F4EE5" w:rsidP="004A4E82">
      <w:pPr>
        <w:pStyle w:val="Default"/>
        <w:ind w:firstLine="567"/>
        <w:jc w:val="both"/>
      </w:pPr>
      <w:r>
        <w:t>Băncile</w:t>
      </w:r>
      <w:r w:rsidR="00354DDA">
        <w:t xml:space="preserve"> calculează apoi valoarea noţională efectivă a setului de acoperire a riscului j în conformitate cu următoarea formulă: </w:t>
      </w:r>
    </w:p>
    <w:p w14:paraId="42BEC2D7" w14:textId="771F1027" w:rsidR="00354DDA" w:rsidRDefault="008F4EE5" w:rsidP="004A4E82">
      <w:pPr>
        <w:pStyle w:val="Default"/>
        <w:ind w:firstLine="567"/>
        <w:jc w:val="center"/>
      </w:pPr>
      <w:r>
        <w:rPr>
          <w:noProof/>
          <w:lang w:val="en-US"/>
        </w:rPr>
        <w:drawing>
          <wp:inline distT="0" distB="0" distL="0" distR="0" wp14:anchorId="7DBB952F" wp14:editId="2057375E">
            <wp:extent cx="4615132" cy="453569"/>
            <wp:effectExtent l="0" t="0" r="0" b="3810"/>
            <wp:docPr id="1218719720"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7528" cy="462650"/>
                    </a:xfrm>
                    <a:prstGeom prst="rect">
                      <a:avLst/>
                    </a:prstGeom>
                    <a:noFill/>
                    <a:ln>
                      <a:noFill/>
                    </a:ln>
                  </pic:spPr>
                </pic:pic>
              </a:graphicData>
            </a:graphic>
          </wp:inline>
        </w:drawing>
      </w:r>
    </w:p>
    <w:p w14:paraId="2B4586DA" w14:textId="77777777" w:rsidR="00354DDA" w:rsidRDefault="00354DDA" w:rsidP="004A4E82">
      <w:pPr>
        <w:pStyle w:val="Default"/>
        <w:ind w:firstLine="567"/>
        <w:jc w:val="both"/>
      </w:pPr>
      <w:r>
        <w:t xml:space="preserve"> </w:t>
      </w:r>
    </w:p>
    <w:p w14:paraId="25531D62" w14:textId="77777777" w:rsidR="00354DDA" w:rsidRDefault="00354DDA" w:rsidP="004A4E82">
      <w:pPr>
        <w:pStyle w:val="Default"/>
        <w:ind w:firstLine="567"/>
        <w:jc w:val="both"/>
      </w:pPr>
      <w:r>
        <w:t xml:space="preserve">unde: </w:t>
      </w:r>
    </w:p>
    <w:p w14:paraId="009AF752" w14:textId="1973D40C" w:rsidR="00354DDA" w:rsidRDefault="008F4EE5" w:rsidP="004A4E82">
      <w:pPr>
        <w:pStyle w:val="Default"/>
        <w:ind w:firstLine="567"/>
        <w:jc w:val="both"/>
      </w:pPr>
      <w:r>
        <w:rPr>
          <w:noProof/>
          <w:lang w:val="en-US"/>
        </w:rPr>
        <w:drawing>
          <wp:inline distT="0" distB="0" distL="0" distR="0" wp14:anchorId="66B6B350" wp14:editId="52F844CA">
            <wp:extent cx="511810" cy="21336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810" cy="213360"/>
                    </a:xfrm>
                    <a:prstGeom prst="rect">
                      <a:avLst/>
                    </a:prstGeom>
                    <a:noFill/>
                  </pic:spPr>
                </pic:pic>
              </a:graphicData>
            </a:graphic>
          </wp:inline>
        </w:drawing>
      </w:r>
      <w:r w:rsidR="00354DDA">
        <w:t xml:space="preserve"> = valoarea noţională efectivă a setului de acoperire a riscului j; și </w:t>
      </w:r>
    </w:p>
    <w:p w14:paraId="540EB98A" w14:textId="77777777" w:rsidR="00354DDA" w:rsidRDefault="00354DDA" w:rsidP="004A4E82">
      <w:pPr>
        <w:pStyle w:val="Default"/>
        <w:ind w:firstLine="567"/>
        <w:jc w:val="both"/>
      </w:pPr>
      <w:r>
        <w:t xml:space="preserve">Dj,k = valoarea noţională efectivă a benzii k a setului de acoperire a riscului j, calculată după cum urmează: </w:t>
      </w:r>
    </w:p>
    <w:p w14:paraId="53F0B82D" w14:textId="6A0F3532" w:rsidR="00354DDA" w:rsidRDefault="008F4EE5" w:rsidP="004A4E82">
      <w:pPr>
        <w:pStyle w:val="Default"/>
        <w:ind w:firstLine="567"/>
        <w:jc w:val="center"/>
      </w:pPr>
      <w:r>
        <w:rPr>
          <w:noProof/>
          <w:lang w:val="en-US"/>
        </w:rPr>
        <w:drawing>
          <wp:inline distT="0" distB="0" distL="0" distR="0" wp14:anchorId="10964664" wp14:editId="70173541">
            <wp:extent cx="2182483" cy="461046"/>
            <wp:effectExtent l="0" t="0" r="8890" b="0"/>
            <wp:docPr id="1384579018"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19327" cy="468829"/>
                    </a:xfrm>
                    <a:prstGeom prst="rect">
                      <a:avLst/>
                    </a:prstGeom>
                    <a:noFill/>
                    <a:ln>
                      <a:noFill/>
                    </a:ln>
                  </pic:spPr>
                </pic:pic>
              </a:graphicData>
            </a:graphic>
          </wp:inline>
        </w:drawing>
      </w:r>
    </w:p>
    <w:p w14:paraId="54D681DE" w14:textId="77777777" w:rsidR="00354DDA" w:rsidRDefault="00354DDA" w:rsidP="004A4E82">
      <w:pPr>
        <w:pStyle w:val="Default"/>
        <w:ind w:firstLine="567"/>
        <w:jc w:val="both"/>
      </w:pPr>
      <w:r>
        <w:t xml:space="preserve">unde: </w:t>
      </w:r>
    </w:p>
    <w:p w14:paraId="44411497" w14:textId="152F6DAA" w:rsidR="00354DDA" w:rsidRDefault="00354DDA" w:rsidP="004A4E82">
      <w:pPr>
        <w:pStyle w:val="Default"/>
        <w:ind w:firstLine="567"/>
        <w:jc w:val="both"/>
      </w:pPr>
      <w:r>
        <w:t xml:space="preserve">l = indicele care desemnează poziţia de risc (RiskPosition). </w:t>
      </w:r>
    </w:p>
    <w:p w14:paraId="36E4B694" w14:textId="438E04AC" w:rsidR="008F4EE5" w:rsidRDefault="008F4EE5" w:rsidP="004A4E82">
      <w:pPr>
        <w:pStyle w:val="CM4"/>
        <w:spacing w:before="60" w:after="60"/>
        <w:ind w:firstLine="567"/>
        <w:jc w:val="center"/>
        <w:rPr>
          <w:i/>
          <w:iCs/>
          <w:color w:val="000000"/>
        </w:rPr>
      </w:pPr>
      <w:r w:rsidRPr="009819FD">
        <w:rPr>
          <w:i/>
          <w:iCs/>
          <w:color w:val="000000"/>
        </w:rPr>
        <w:t>Secțiunea</w:t>
      </w:r>
      <w:r w:rsidR="0099409E">
        <w:rPr>
          <w:i/>
          <w:iCs/>
          <w:color w:val="000000"/>
        </w:rPr>
        <w:t xml:space="preserve"> a</w:t>
      </w:r>
      <w:r w:rsidRPr="009819FD">
        <w:rPr>
          <w:i/>
          <w:iCs/>
          <w:color w:val="000000"/>
        </w:rPr>
        <w:t xml:space="preserve"> </w:t>
      </w:r>
      <w:r w:rsidR="00CA27C5">
        <w:rPr>
          <w:i/>
          <w:iCs/>
          <w:color w:val="000000"/>
        </w:rPr>
        <w:t>13</w:t>
      </w:r>
      <w:r w:rsidR="0099409E">
        <w:rPr>
          <w:i/>
          <w:iCs/>
          <w:color w:val="000000"/>
        </w:rPr>
        <w:t>-a</w:t>
      </w:r>
    </w:p>
    <w:p w14:paraId="47ECDC64" w14:textId="77777777" w:rsidR="00354DDA" w:rsidRPr="00CA27C5" w:rsidRDefault="00354DDA" w:rsidP="004A4E82">
      <w:pPr>
        <w:pStyle w:val="Default"/>
        <w:ind w:firstLine="567"/>
        <w:jc w:val="center"/>
        <w:rPr>
          <w:b/>
          <w:bCs/>
        </w:rPr>
      </w:pPr>
      <w:r w:rsidRPr="00CA27C5">
        <w:rPr>
          <w:b/>
          <w:bCs/>
        </w:rPr>
        <w:t>Majorarea aferentă categoriei de risc valutar</w:t>
      </w:r>
    </w:p>
    <w:p w14:paraId="64CFC0F7" w14:textId="4DB856BB" w:rsidR="00354DDA" w:rsidRDefault="008551AC" w:rsidP="004A4E82">
      <w:pPr>
        <w:pStyle w:val="Default"/>
        <w:ind w:firstLine="567"/>
        <w:jc w:val="both"/>
      </w:pPr>
      <w:r>
        <w:rPr>
          <w:b/>
          <w:bCs/>
        </w:rPr>
        <w:t>6</w:t>
      </w:r>
      <w:r w:rsidR="004B1CE6">
        <w:rPr>
          <w:b/>
          <w:bCs/>
        </w:rPr>
        <w:t>6</w:t>
      </w:r>
      <w:r w:rsidR="008F4EE5" w:rsidRPr="00CA27C5">
        <w:rPr>
          <w:b/>
          <w:bCs/>
        </w:rPr>
        <w:t>.</w:t>
      </w:r>
      <w:r w:rsidR="00354DDA">
        <w:t xml:space="preserve"> În sensul </w:t>
      </w:r>
      <w:r w:rsidR="00924205">
        <w:t>punctelor 51-53</w:t>
      </w:r>
      <w:r w:rsidR="00354DDA">
        <w:t xml:space="preserve">, </w:t>
      </w:r>
      <w:r w:rsidR="008F4EE5">
        <w:t>băncile</w:t>
      </w:r>
      <w:r w:rsidR="00354DDA">
        <w:t xml:space="preserve"> calculează majorarea aferentă categoriei de risc valutar (foreign exchange – FX) pentru un anumit set de compensare după cum urmează: </w:t>
      </w:r>
    </w:p>
    <w:p w14:paraId="112ABF5E" w14:textId="415141BE" w:rsidR="00354DDA" w:rsidRDefault="008F4EE5" w:rsidP="004A4E82">
      <w:pPr>
        <w:pStyle w:val="Default"/>
        <w:ind w:firstLine="567"/>
        <w:jc w:val="center"/>
      </w:pPr>
      <w:r>
        <w:rPr>
          <w:noProof/>
          <w:lang w:val="en-US"/>
        </w:rPr>
        <w:drawing>
          <wp:inline distT="0" distB="0" distL="0" distR="0" wp14:anchorId="129BF546" wp14:editId="041D3043">
            <wp:extent cx="2104845" cy="485159"/>
            <wp:effectExtent l="0" t="0" r="0" b="0"/>
            <wp:docPr id="19117443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8145" cy="490530"/>
                    </a:xfrm>
                    <a:prstGeom prst="rect">
                      <a:avLst/>
                    </a:prstGeom>
                    <a:noFill/>
                  </pic:spPr>
                </pic:pic>
              </a:graphicData>
            </a:graphic>
          </wp:inline>
        </w:drawing>
      </w:r>
    </w:p>
    <w:p w14:paraId="2FFC2163" w14:textId="77777777" w:rsidR="00354DDA" w:rsidRDefault="00354DDA" w:rsidP="004A4E82">
      <w:pPr>
        <w:pStyle w:val="Default"/>
        <w:ind w:firstLine="567"/>
        <w:jc w:val="both"/>
      </w:pPr>
      <w:r>
        <w:t xml:space="preserve">unde: </w:t>
      </w:r>
    </w:p>
    <w:p w14:paraId="76999B31" w14:textId="3EAB1B13" w:rsidR="00354DDA" w:rsidRDefault="008F4EE5" w:rsidP="004A4E82">
      <w:pPr>
        <w:pStyle w:val="Default"/>
        <w:ind w:firstLine="567"/>
        <w:jc w:val="both"/>
      </w:pPr>
      <w:r w:rsidRPr="006C31DC">
        <w:t xml:space="preserve">AddOn </w:t>
      </w:r>
      <w:r w:rsidRPr="00955E56">
        <w:rPr>
          <w:vertAlign w:val="superscript"/>
        </w:rPr>
        <w:t>FX</w:t>
      </w:r>
      <w:r w:rsidRPr="006C31DC">
        <w:t xml:space="preserve"> </w:t>
      </w:r>
      <w:r w:rsidR="00354DDA">
        <w:t xml:space="preserve">= majorarea aferentă categoriei de risc valutar; </w:t>
      </w:r>
    </w:p>
    <w:p w14:paraId="7DE3AAE5" w14:textId="1664DAF7" w:rsidR="00354DDA" w:rsidRDefault="00354DDA" w:rsidP="004A4E82">
      <w:pPr>
        <w:pStyle w:val="Default"/>
        <w:ind w:firstLine="567"/>
        <w:jc w:val="both"/>
      </w:pPr>
      <w:r>
        <w:t xml:space="preserve">j = indicele care desemnează seturile de acoperire a riscului valutar stabilite în conformitate cu </w:t>
      </w:r>
      <w:r w:rsidR="00924205">
        <w:t xml:space="preserve">punctul 48 subpunctul 2) și cu punctul 49 </w:t>
      </w:r>
      <w:r>
        <w:t xml:space="preserve">pentru setul de compensare; și </w:t>
      </w:r>
    </w:p>
    <w:p w14:paraId="22201C63" w14:textId="275DD786" w:rsidR="00354DDA" w:rsidRDefault="008F4EE5" w:rsidP="004A4E82">
      <w:pPr>
        <w:pStyle w:val="Default"/>
        <w:ind w:firstLine="567"/>
        <w:jc w:val="both"/>
      </w:pPr>
      <w:r>
        <w:rPr>
          <w:noProof/>
          <w:lang w:val="en-US"/>
        </w:rPr>
        <w:drawing>
          <wp:inline distT="0" distB="0" distL="0" distR="0" wp14:anchorId="3AAD4A2C" wp14:editId="2503403B">
            <wp:extent cx="638355" cy="241540"/>
            <wp:effectExtent l="0" t="0" r="0" b="6350"/>
            <wp:docPr id="15614566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2646" cy="246947"/>
                    </a:xfrm>
                    <a:prstGeom prst="rect">
                      <a:avLst/>
                    </a:prstGeom>
                    <a:noFill/>
                  </pic:spPr>
                </pic:pic>
              </a:graphicData>
            </a:graphic>
          </wp:inline>
        </w:drawing>
      </w:r>
      <w:r w:rsidR="00354DDA">
        <w:t xml:space="preserve"> = majorarea aferentă categoriei de risc valutar pentru setul de acoperire a riscului j calculat în conformitate cu </w:t>
      </w:r>
      <w:r w:rsidR="00924205">
        <w:t>punctul 64</w:t>
      </w:r>
      <w:r w:rsidR="00354DDA">
        <w:t xml:space="preserve">. </w:t>
      </w:r>
    </w:p>
    <w:p w14:paraId="44EDCBEB" w14:textId="17808D22" w:rsidR="00354DDA" w:rsidRDefault="00B7029A" w:rsidP="004A4E82">
      <w:pPr>
        <w:pStyle w:val="Default"/>
        <w:ind w:firstLine="567"/>
        <w:jc w:val="both"/>
      </w:pPr>
      <w:r>
        <w:rPr>
          <w:b/>
          <w:bCs/>
        </w:rPr>
        <w:t>6</w:t>
      </w:r>
      <w:r w:rsidR="004B1CE6">
        <w:rPr>
          <w:b/>
          <w:bCs/>
        </w:rPr>
        <w:t>7</w:t>
      </w:r>
      <w:r w:rsidR="008F4EE5" w:rsidRPr="00CA27C5">
        <w:rPr>
          <w:b/>
          <w:bCs/>
        </w:rPr>
        <w:t>.</w:t>
      </w:r>
      <w:r w:rsidR="00354DDA">
        <w:t xml:space="preserve"> </w:t>
      </w:r>
      <w:r w:rsidR="008F4EE5">
        <w:t>Băncile</w:t>
      </w:r>
      <w:r w:rsidR="00354DDA">
        <w:t xml:space="preserve"> calculează majorarea aferentă categoriei de risc valutar pentru setul de acoperire a riscului j astfel: </w:t>
      </w:r>
    </w:p>
    <w:p w14:paraId="71B4DAEC" w14:textId="23A67FBC" w:rsidR="00354DDA" w:rsidRDefault="008F4EE5" w:rsidP="004A4E82">
      <w:pPr>
        <w:pStyle w:val="Default"/>
        <w:ind w:firstLine="567"/>
        <w:jc w:val="center"/>
      </w:pPr>
      <w:r>
        <w:rPr>
          <w:noProof/>
          <w:lang w:val="en-US"/>
        </w:rPr>
        <w:drawing>
          <wp:inline distT="0" distB="0" distL="0" distR="0" wp14:anchorId="34278B6F" wp14:editId="6C1CE3C9">
            <wp:extent cx="2881223" cy="356013"/>
            <wp:effectExtent l="0" t="0" r="0" b="6350"/>
            <wp:docPr id="3447678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3544" cy="360007"/>
                    </a:xfrm>
                    <a:prstGeom prst="rect">
                      <a:avLst/>
                    </a:prstGeom>
                    <a:noFill/>
                  </pic:spPr>
                </pic:pic>
              </a:graphicData>
            </a:graphic>
          </wp:inline>
        </w:drawing>
      </w:r>
    </w:p>
    <w:p w14:paraId="423F86CC" w14:textId="77777777" w:rsidR="00354DDA" w:rsidRDefault="00354DDA" w:rsidP="004A4E82">
      <w:pPr>
        <w:pStyle w:val="Default"/>
        <w:ind w:firstLine="567"/>
      </w:pPr>
      <w:r>
        <w:t xml:space="preserve">unde: </w:t>
      </w:r>
    </w:p>
    <w:p w14:paraId="1A230BB7" w14:textId="371C7AC0" w:rsidR="00354DDA" w:rsidRDefault="00354DDA" w:rsidP="004A4E82">
      <w:pPr>
        <w:pStyle w:val="Default"/>
        <w:ind w:firstLine="567"/>
        <w:jc w:val="both"/>
      </w:pPr>
      <w:r>
        <w:t xml:space="preserve">єj = coeficientul factorului impus de </w:t>
      </w:r>
      <w:r w:rsidR="00385EFD" w:rsidRPr="00385EFD">
        <w:t>Banca Națională a Moldovei</w:t>
      </w:r>
      <w:r>
        <w:t xml:space="preserve"> aferent setului de acoperire a riscului pentru setul de acoperire a riscului j calculat în conformitate cu </w:t>
      </w:r>
      <w:r w:rsidR="00924205" w:rsidRPr="00CA27C5">
        <w:t>punctul 62</w:t>
      </w:r>
      <w:r w:rsidRPr="00924205">
        <w:t>;</w:t>
      </w:r>
      <w:r>
        <w:t xml:space="preserve"> </w:t>
      </w:r>
    </w:p>
    <w:p w14:paraId="4D852985" w14:textId="78A31B84" w:rsidR="00354DDA" w:rsidRDefault="00354DDA" w:rsidP="004A4E82">
      <w:pPr>
        <w:pStyle w:val="Default"/>
        <w:ind w:firstLine="567"/>
        <w:jc w:val="both"/>
      </w:pPr>
      <w:r>
        <w:t>SF</w:t>
      </w:r>
      <w:r w:rsidRPr="00CA27C5">
        <w:rPr>
          <w:vertAlign w:val="superscript"/>
        </w:rPr>
        <w:t>FX</w:t>
      </w:r>
      <w:r>
        <w:t xml:space="preserve"> = factorul impus de </w:t>
      </w:r>
      <w:r w:rsidR="00385EFD" w:rsidRPr="00385EFD">
        <w:t>Banca Națională a Moldovei</w:t>
      </w:r>
      <w:r>
        <w:t xml:space="preserve"> pentru categoria de risc valutar cu o valoare egală cu 4 %; </w:t>
      </w:r>
    </w:p>
    <w:p w14:paraId="0896BC72" w14:textId="3B4851EB" w:rsidR="00354DDA" w:rsidRDefault="008F4EE5" w:rsidP="004A4E82">
      <w:pPr>
        <w:pStyle w:val="Default"/>
        <w:ind w:firstLine="567"/>
        <w:jc w:val="both"/>
      </w:pPr>
      <w:r>
        <w:rPr>
          <w:noProof/>
          <w:lang w:val="en-US"/>
        </w:rPr>
        <w:lastRenderedPageBreak/>
        <w:drawing>
          <wp:inline distT="0" distB="0" distL="0" distR="0" wp14:anchorId="607B7F42" wp14:editId="7CCDED7A">
            <wp:extent cx="595223" cy="238089"/>
            <wp:effectExtent l="0" t="0" r="0" b="0"/>
            <wp:docPr id="9918561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2168" cy="248867"/>
                    </a:xfrm>
                    <a:prstGeom prst="rect">
                      <a:avLst/>
                    </a:prstGeom>
                    <a:noFill/>
                  </pic:spPr>
                </pic:pic>
              </a:graphicData>
            </a:graphic>
          </wp:inline>
        </w:drawing>
      </w:r>
      <w:r w:rsidR="00354DDA">
        <w:t xml:space="preserve"> = valoarea noţională efectivă a setului de acoperire a riscului j, calculată după cum urmează: </w:t>
      </w:r>
    </w:p>
    <w:p w14:paraId="19C80ED3" w14:textId="21747998" w:rsidR="00354DDA" w:rsidRDefault="008F4EE5" w:rsidP="004A4E82">
      <w:pPr>
        <w:pStyle w:val="Default"/>
        <w:ind w:firstLine="567"/>
        <w:jc w:val="center"/>
      </w:pPr>
      <w:r>
        <w:rPr>
          <w:noProof/>
          <w:lang w:val="en-US"/>
        </w:rPr>
        <w:drawing>
          <wp:inline distT="0" distB="0" distL="0" distR="0" wp14:anchorId="709944D9" wp14:editId="42F33A3C">
            <wp:extent cx="3381555" cy="431829"/>
            <wp:effectExtent l="0" t="0" r="0" b="6350"/>
            <wp:docPr id="4958700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80229" cy="444430"/>
                    </a:xfrm>
                    <a:prstGeom prst="rect">
                      <a:avLst/>
                    </a:prstGeom>
                    <a:noFill/>
                  </pic:spPr>
                </pic:pic>
              </a:graphicData>
            </a:graphic>
          </wp:inline>
        </w:drawing>
      </w:r>
    </w:p>
    <w:p w14:paraId="2AED6AFA" w14:textId="77777777" w:rsidR="00354DDA" w:rsidRDefault="00354DDA" w:rsidP="004A4E82">
      <w:pPr>
        <w:pStyle w:val="Default"/>
        <w:ind w:firstLine="567"/>
        <w:jc w:val="both"/>
      </w:pPr>
      <w:r>
        <w:t xml:space="preserve">unde: </w:t>
      </w:r>
    </w:p>
    <w:p w14:paraId="712DC6BE" w14:textId="77777777" w:rsidR="00354DDA" w:rsidRDefault="00354DDA" w:rsidP="004A4E82">
      <w:pPr>
        <w:pStyle w:val="Default"/>
        <w:ind w:firstLine="567"/>
        <w:jc w:val="both"/>
      </w:pPr>
      <w:r>
        <w:t xml:space="preserve">l = indicele care desemnează poziţia de risc (RiskPosition). </w:t>
      </w:r>
    </w:p>
    <w:p w14:paraId="2885B4BC" w14:textId="6CC26282" w:rsidR="008F4EE5" w:rsidRDefault="008F4EE5"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14</w:t>
      </w:r>
      <w:r w:rsidR="0099409E">
        <w:rPr>
          <w:i/>
          <w:iCs/>
          <w:color w:val="000000"/>
        </w:rPr>
        <w:t>-a</w:t>
      </w:r>
    </w:p>
    <w:p w14:paraId="02B0F407" w14:textId="77777777" w:rsidR="00354DDA" w:rsidRPr="00CA27C5" w:rsidRDefault="00354DDA" w:rsidP="004A4E82">
      <w:pPr>
        <w:pStyle w:val="Default"/>
        <w:ind w:firstLine="567"/>
        <w:jc w:val="center"/>
        <w:rPr>
          <w:b/>
          <w:bCs/>
        </w:rPr>
      </w:pPr>
      <w:r w:rsidRPr="00CA27C5">
        <w:rPr>
          <w:b/>
          <w:bCs/>
        </w:rPr>
        <w:t>Majorarea aferentă categoriei de risc de credit</w:t>
      </w:r>
    </w:p>
    <w:p w14:paraId="598E7088" w14:textId="38C73685" w:rsidR="00354DDA" w:rsidRDefault="00B7029A" w:rsidP="004A4E82">
      <w:pPr>
        <w:pStyle w:val="Default"/>
        <w:ind w:firstLine="567"/>
        <w:jc w:val="both"/>
      </w:pPr>
      <w:r>
        <w:rPr>
          <w:b/>
          <w:bCs/>
        </w:rPr>
        <w:t>6</w:t>
      </w:r>
      <w:r w:rsidR="004B1CE6">
        <w:rPr>
          <w:b/>
          <w:bCs/>
        </w:rPr>
        <w:t>8</w:t>
      </w:r>
      <w:r w:rsidR="008F4EE5" w:rsidRPr="00CA27C5">
        <w:rPr>
          <w:b/>
          <w:bCs/>
        </w:rPr>
        <w:t>.</w:t>
      </w:r>
      <w:r w:rsidR="00354DDA">
        <w:t xml:space="preserve"> În sensul </w:t>
      </w:r>
      <w:r w:rsidR="008F4EE5" w:rsidRPr="00924205">
        <w:t xml:space="preserve">punctului </w:t>
      </w:r>
      <w:r w:rsidR="00924205">
        <w:t>69</w:t>
      </w:r>
      <w:r w:rsidR="00354DDA">
        <w:t xml:space="preserve">, </w:t>
      </w:r>
      <w:r w:rsidR="008F4EE5">
        <w:t>băncile</w:t>
      </w:r>
      <w:r w:rsidR="00354DDA">
        <w:t xml:space="preserve"> stabilesc entităţile de referinţă relevante privind creditul pentru setul de compensare în conformitate cu următoarele: </w:t>
      </w:r>
    </w:p>
    <w:p w14:paraId="6EE34B84" w14:textId="77777777" w:rsidR="00B7029A" w:rsidRDefault="00B7029A" w:rsidP="004A4E82">
      <w:pPr>
        <w:pStyle w:val="Default"/>
        <w:ind w:firstLine="567"/>
        <w:jc w:val="both"/>
      </w:pPr>
      <w:r>
        <w:t>1</w:t>
      </w:r>
      <w:r w:rsidR="00354DDA">
        <w:t xml:space="preserve">) pentru fiecare emitent al unui instrument de datorie de referinţă care este suport al unei tranzacţii având la bază o singură semnătură atribuite categoriei de risc de credit există o singură entitate de referinţă privind creditul; tranzacţiile având la bază o singură semnătură sunt atribuite aceleiași entităţi de referinţă privind creditul numai în cazul în care instrumentul de datorie de referinţă care este suport al tranzacţiilor respective este emis de același emitent; </w:t>
      </w:r>
    </w:p>
    <w:p w14:paraId="6F22F08A" w14:textId="3E661FEB" w:rsidR="00354DDA" w:rsidRDefault="00B7029A" w:rsidP="004A4E82">
      <w:pPr>
        <w:pStyle w:val="Default"/>
        <w:ind w:firstLine="567"/>
        <w:jc w:val="both"/>
      </w:pPr>
      <w:r>
        <w:t>2</w:t>
      </w:r>
      <w:r w:rsidR="00354DDA">
        <w:t xml:space="preserve">) pentru fiecare grup de instrumente de datorie de referinţă sau de instrumente financiare derivate de credit având la bază o singură semnătură care sunt suport al unei tranzacţii având la bază mai multe semnături atribuite categoriei de risc de credit există o singură entitate de referinţă privind creditul; tranzacţiile având la bază mai multe semnături sunt atribuite aceleiași entităţi de referinţă privind creditul numai în cazul în care grupul de instrumente de datorie de referinţă sau de instrumente financiare derivate de credit având la bază o singură semnătură care sunt suport al tranzacţiilor respective au aceleași componente. </w:t>
      </w:r>
    </w:p>
    <w:p w14:paraId="2A72E1DC" w14:textId="75A3230A" w:rsidR="00354DDA" w:rsidRDefault="00B7029A" w:rsidP="004A4E82">
      <w:pPr>
        <w:pStyle w:val="Default"/>
        <w:ind w:firstLine="567"/>
        <w:jc w:val="both"/>
      </w:pPr>
      <w:r>
        <w:rPr>
          <w:b/>
          <w:bCs/>
        </w:rPr>
        <w:t>6</w:t>
      </w:r>
      <w:r w:rsidR="004B1CE6">
        <w:rPr>
          <w:b/>
          <w:bCs/>
        </w:rPr>
        <w:t>9</w:t>
      </w:r>
      <w:r w:rsidR="003C3E42" w:rsidRPr="00CA27C5">
        <w:rPr>
          <w:b/>
          <w:bCs/>
        </w:rPr>
        <w:t>.</w:t>
      </w:r>
      <w:r w:rsidR="00354DDA">
        <w:t xml:space="preserve"> În sensul </w:t>
      </w:r>
      <w:r w:rsidR="00924205">
        <w:t>punctelor 51-53</w:t>
      </w:r>
      <w:r w:rsidR="00354DDA">
        <w:t xml:space="preserve">, </w:t>
      </w:r>
      <w:r w:rsidR="003C3E42">
        <w:t>băncile</w:t>
      </w:r>
      <w:r w:rsidR="00354DDA">
        <w:t xml:space="preserve"> calculează majorarea aferentă categoriei de risc de credit pentru un anumit set de compensare după cum urmează: </w:t>
      </w:r>
    </w:p>
    <w:p w14:paraId="144F74FD" w14:textId="08721202" w:rsidR="00354DDA" w:rsidRDefault="003C3E42" w:rsidP="004A4E82">
      <w:pPr>
        <w:pStyle w:val="Default"/>
        <w:ind w:firstLine="567"/>
        <w:jc w:val="center"/>
      </w:pPr>
      <w:r>
        <w:rPr>
          <w:noProof/>
          <w:lang w:val="en-US"/>
        </w:rPr>
        <w:drawing>
          <wp:inline distT="0" distB="0" distL="0" distR="0" wp14:anchorId="1CBA4359" wp14:editId="30B66D8C">
            <wp:extent cx="2139351" cy="417591"/>
            <wp:effectExtent l="0" t="0" r="0" b="1905"/>
            <wp:docPr id="17067336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3353" cy="430084"/>
                    </a:xfrm>
                    <a:prstGeom prst="rect">
                      <a:avLst/>
                    </a:prstGeom>
                    <a:noFill/>
                  </pic:spPr>
                </pic:pic>
              </a:graphicData>
            </a:graphic>
          </wp:inline>
        </w:drawing>
      </w:r>
    </w:p>
    <w:p w14:paraId="4747CD00" w14:textId="77777777" w:rsidR="00354DDA" w:rsidRDefault="00354DDA" w:rsidP="004A4E82">
      <w:pPr>
        <w:pStyle w:val="Default"/>
        <w:ind w:firstLine="567"/>
        <w:jc w:val="both"/>
      </w:pPr>
      <w:r>
        <w:t xml:space="preserve">unde: </w:t>
      </w:r>
    </w:p>
    <w:p w14:paraId="28905098" w14:textId="1DDA1097" w:rsidR="00354DDA" w:rsidRDefault="003C3E42" w:rsidP="004A4E82">
      <w:pPr>
        <w:pStyle w:val="Default"/>
        <w:ind w:firstLine="567"/>
        <w:jc w:val="both"/>
      </w:pPr>
      <w:r w:rsidRPr="006C31DC">
        <w:t>AddOn</w:t>
      </w:r>
      <w:r w:rsidRPr="00280376">
        <w:rPr>
          <w:vertAlign w:val="superscript"/>
        </w:rPr>
        <w:t>Credit</w:t>
      </w:r>
      <w:r w:rsidRPr="006C31DC">
        <w:t xml:space="preserve"> </w:t>
      </w:r>
      <w:r w:rsidR="00354DDA">
        <w:t xml:space="preserve">= majorarea aferentă categoriei de risc de credit; </w:t>
      </w:r>
    </w:p>
    <w:p w14:paraId="437097A8" w14:textId="651E4F7B" w:rsidR="00354DDA" w:rsidRDefault="00354DDA" w:rsidP="004A4E82">
      <w:pPr>
        <w:pStyle w:val="Default"/>
        <w:ind w:firstLine="567"/>
        <w:jc w:val="both"/>
      </w:pPr>
      <w:r>
        <w:t xml:space="preserve">j = indicele care desemnează toate seturile de acoperire a riscului de credit stabilite în conformitate cu </w:t>
      </w:r>
      <w:r w:rsidR="00924205">
        <w:t xml:space="preserve">punctul 48 subpunctul 3) și punctul 49 </w:t>
      </w:r>
      <w:r>
        <w:t xml:space="preserve">pentru setul de compensare; și </w:t>
      </w:r>
    </w:p>
    <w:p w14:paraId="5176E9F6" w14:textId="3BCC530D" w:rsidR="00354DDA" w:rsidRDefault="003C3E42" w:rsidP="004A4E82">
      <w:pPr>
        <w:pStyle w:val="Default"/>
        <w:ind w:firstLine="567"/>
        <w:jc w:val="both"/>
      </w:pPr>
      <w:r>
        <w:rPr>
          <w:noProof/>
          <w:lang w:val="en-US"/>
        </w:rPr>
        <w:drawing>
          <wp:inline distT="0" distB="0" distL="0" distR="0" wp14:anchorId="415FDAD8" wp14:editId="155B6DE8">
            <wp:extent cx="690113" cy="216041"/>
            <wp:effectExtent l="0" t="0" r="0" b="0"/>
            <wp:docPr id="1727405661"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8897" cy="225052"/>
                    </a:xfrm>
                    <a:prstGeom prst="rect">
                      <a:avLst/>
                    </a:prstGeom>
                    <a:noFill/>
                    <a:ln>
                      <a:noFill/>
                    </a:ln>
                  </pic:spPr>
                </pic:pic>
              </a:graphicData>
            </a:graphic>
          </wp:inline>
        </w:drawing>
      </w:r>
      <w:r w:rsidR="00354DDA">
        <w:t xml:space="preserve">  = majorarea aferentă categoriei de risc de credit pentru setul de acoperire a riscului j calculat în conformitate </w:t>
      </w:r>
      <w:r w:rsidR="00354DDA" w:rsidRPr="00924205">
        <w:t xml:space="preserve">cu </w:t>
      </w:r>
      <w:r w:rsidRPr="00924205">
        <w:t xml:space="preserve">punctul </w:t>
      </w:r>
      <w:r w:rsidR="00924205" w:rsidRPr="00CA27C5">
        <w:t>70</w:t>
      </w:r>
      <w:r w:rsidR="00354DDA" w:rsidRPr="00924205">
        <w:t>.</w:t>
      </w:r>
      <w:r w:rsidR="00354DDA">
        <w:t xml:space="preserve"> </w:t>
      </w:r>
    </w:p>
    <w:p w14:paraId="59FA6BB7" w14:textId="3459CA8D" w:rsidR="00354DDA" w:rsidRDefault="004B1CE6" w:rsidP="004A4E82">
      <w:pPr>
        <w:pStyle w:val="Default"/>
        <w:ind w:firstLine="567"/>
        <w:jc w:val="both"/>
      </w:pPr>
      <w:r>
        <w:rPr>
          <w:b/>
          <w:bCs/>
        </w:rPr>
        <w:t>70</w:t>
      </w:r>
      <w:r w:rsidR="00723E3C" w:rsidRPr="00CA27C5">
        <w:rPr>
          <w:b/>
          <w:bCs/>
        </w:rPr>
        <w:t>.</w:t>
      </w:r>
      <w:r w:rsidR="00354DDA" w:rsidRPr="00723E3C">
        <w:t xml:space="preserve"> </w:t>
      </w:r>
      <w:r w:rsidR="00723E3C">
        <w:t>Băncile</w:t>
      </w:r>
      <w:r w:rsidR="00354DDA" w:rsidRPr="00723E3C">
        <w:t xml:space="preserve"> calculează majorarea aferentă categoriei de risc de credit pentru setul de acoperire a riscului j după cum urmează: </w:t>
      </w:r>
    </w:p>
    <w:p w14:paraId="77033427" w14:textId="1752B552" w:rsidR="00354DDA" w:rsidRDefault="00723E3C" w:rsidP="004A4E82">
      <w:pPr>
        <w:pStyle w:val="Default"/>
        <w:ind w:firstLine="567"/>
        <w:jc w:val="center"/>
      </w:pPr>
      <w:r>
        <w:rPr>
          <w:noProof/>
          <w:lang w:val="en-US"/>
        </w:rPr>
        <w:drawing>
          <wp:inline distT="0" distB="0" distL="0" distR="0" wp14:anchorId="68D3B4A5" wp14:editId="1CC602CC">
            <wp:extent cx="5034590" cy="543464"/>
            <wp:effectExtent l="0" t="0" r="0" b="9525"/>
            <wp:docPr id="1245691354"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55779" cy="545751"/>
                    </a:xfrm>
                    <a:prstGeom prst="rect">
                      <a:avLst/>
                    </a:prstGeom>
                    <a:noFill/>
                    <a:ln>
                      <a:noFill/>
                    </a:ln>
                  </pic:spPr>
                </pic:pic>
              </a:graphicData>
            </a:graphic>
          </wp:inline>
        </w:drawing>
      </w:r>
    </w:p>
    <w:p w14:paraId="50F4B2DB" w14:textId="77777777" w:rsidR="00354DDA" w:rsidRDefault="00354DDA" w:rsidP="004A4E82">
      <w:pPr>
        <w:pStyle w:val="Default"/>
        <w:ind w:firstLine="567"/>
        <w:jc w:val="both"/>
      </w:pPr>
      <w:r>
        <w:t xml:space="preserve">unde: </w:t>
      </w:r>
    </w:p>
    <w:p w14:paraId="567E4A9B" w14:textId="69E476EB" w:rsidR="00354DDA" w:rsidRDefault="00B17979" w:rsidP="004A4E82">
      <w:pPr>
        <w:pStyle w:val="Default"/>
        <w:ind w:firstLine="567"/>
        <w:jc w:val="both"/>
      </w:pPr>
      <w:r>
        <w:rPr>
          <w:noProof/>
          <w:lang w:val="en-US"/>
        </w:rPr>
        <w:drawing>
          <wp:inline distT="0" distB="0" distL="0" distR="0" wp14:anchorId="34CDA7FA" wp14:editId="50B1F1FE">
            <wp:extent cx="759124" cy="237645"/>
            <wp:effectExtent l="0" t="0" r="3175" b="0"/>
            <wp:docPr id="937377684"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2955" cy="241975"/>
                    </a:xfrm>
                    <a:prstGeom prst="rect">
                      <a:avLst/>
                    </a:prstGeom>
                    <a:noFill/>
                    <a:ln>
                      <a:noFill/>
                    </a:ln>
                  </pic:spPr>
                </pic:pic>
              </a:graphicData>
            </a:graphic>
          </wp:inline>
        </w:drawing>
      </w:r>
      <w:r w:rsidR="00354DDA">
        <w:t xml:space="preserve">  = majorarea aferentă categoriei de risc de credit pentru setul de acoperire a riscului j; </w:t>
      </w:r>
    </w:p>
    <w:p w14:paraId="46010E59" w14:textId="19B3A1D6" w:rsidR="00354DDA" w:rsidRDefault="00354DDA" w:rsidP="004A4E82">
      <w:pPr>
        <w:pStyle w:val="Default"/>
        <w:ind w:firstLine="567"/>
        <w:jc w:val="both"/>
      </w:pPr>
      <w:r>
        <w:t xml:space="preserve">єj = coeficientul factorului impus de </w:t>
      </w:r>
      <w:r w:rsidR="00385EFD" w:rsidRPr="00385EFD">
        <w:t>Banca Națională a Moldovei</w:t>
      </w:r>
      <w:r>
        <w:t xml:space="preserve"> aferent setului de acoperire a riscului pentru setul de acoperire a riscului j determinat în conformitate cu </w:t>
      </w:r>
      <w:r w:rsidR="00924205">
        <w:t xml:space="preserve">punctul </w:t>
      </w:r>
      <w:r w:rsidR="00020CD2">
        <w:t>62</w:t>
      </w:r>
      <w:r>
        <w:t xml:space="preserve">; </w:t>
      </w:r>
    </w:p>
    <w:p w14:paraId="319057B5" w14:textId="07E5679A" w:rsidR="00354DDA" w:rsidRDefault="00354DDA" w:rsidP="004A4E82">
      <w:pPr>
        <w:pStyle w:val="Default"/>
        <w:ind w:firstLine="567"/>
        <w:jc w:val="both"/>
      </w:pPr>
      <w:r>
        <w:t xml:space="preserve">k = indicele care desemnează entităţile de referinţă privind creditul ale setului de compensare stabilit în conformitate cu </w:t>
      </w:r>
      <w:r w:rsidR="00B17979" w:rsidRPr="00020CD2">
        <w:t xml:space="preserve">punctul </w:t>
      </w:r>
      <w:r w:rsidR="00020CD2" w:rsidRPr="00020CD2">
        <w:t>6</w:t>
      </w:r>
      <w:r w:rsidR="00020CD2">
        <w:t>8</w:t>
      </w:r>
      <w:r>
        <w:t xml:space="preserve">; </w:t>
      </w:r>
    </w:p>
    <w:p w14:paraId="09817966" w14:textId="18A8F49D" w:rsidR="00354DDA" w:rsidRPr="00020CD2" w:rsidRDefault="00B17979" w:rsidP="004A4E82">
      <w:pPr>
        <w:pStyle w:val="Default"/>
        <w:ind w:firstLine="567"/>
        <w:jc w:val="both"/>
      </w:pPr>
      <w:r>
        <w:rPr>
          <w:noProof/>
          <w:lang w:val="en-US"/>
        </w:rPr>
        <w:lastRenderedPageBreak/>
        <w:drawing>
          <wp:inline distT="0" distB="0" distL="0" distR="0" wp14:anchorId="4A0DDE03" wp14:editId="110AF7BA">
            <wp:extent cx="517585" cy="283608"/>
            <wp:effectExtent l="0" t="0" r="0" b="2540"/>
            <wp:docPr id="17425305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977" cy="291494"/>
                    </a:xfrm>
                    <a:prstGeom prst="rect">
                      <a:avLst/>
                    </a:prstGeom>
                    <a:noFill/>
                  </pic:spPr>
                </pic:pic>
              </a:graphicData>
            </a:graphic>
          </wp:inline>
        </w:drawing>
      </w:r>
      <w:r w:rsidR="00354DDA">
        <w:t xml:space="preserve">= factorul de corelare al entităţii de referinţă privind creditul „k”; atunci când entitatea de referinţă privind creditul „k” s-a stabilit în conformitate cu </w:t>
      </w:r>
      <w:r w:rsidRPr="00020CD2">
        <w:t xml:space="preserve">punctul </w:t>
      </w:r>
      <w:r w:rsidR="00020CD2" w:rsidRPr="00CA27C5">
        <w:t>68 subpunctul 1)</w:t>
      </w:r>
      <w:r w:rsidR="00354DDA" w:rsidRPr="00020CD2">
        <w:t>,</w:t>
      </w:r>
    </w:p>
    <w:p w14:paraId="471AEBD6" w14:textId="77777777" w:rsidR="00354DDA" w:rsidRPr="00020CD2" w:rsidRDefault="00354DDA" w:rsidP="004A4E82">
      <w:pPr>
        <w:pStyle w:val="Default"/>
        <w:ind w:firstLine="567"/>
        <w:jc w:val="both"/>
      </w:pPr>
      <w:r w:rsidRPr="00020CD2">
        <w:t xml:space="preserve"> </w:t>
      </w:r>
    </w:p>
    <w:p w14:paraId="6ED649E8" w14:textId="38094F22" w:rsidR="00354DDA" w:rsidRPr="00020CD2" w:rsidRDefault="00E64D26" w:rsidP="004A4E82">
      <w:pPr>
        <w:pStyle w:val="Default"/>
        <w:ind w:firstLine="567"/>
        <w:jc w:val="center"/>
      </w:pPr>
      <w:r w:rsidRPr="00020CD2">
        <w:rPr>
          <w:noProof/>
          <w:lang w:val="en-US"/>
        </w:rPr>
        <w:drawing>
          <wp:inline distT="0" distB="0" distL="0" distR="0" wp14:anchorId="582D9CB9" wp14:editId="68E24916">
            <wp:extent cx="1022878" cy="267419"/>
            <wp:effectExtent l="0" t="0" r="6350" b="0"/>
            <wp:docPr id="11953944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2611" cy="272578"/>
                    </a:xfrm>
                    <a:prstGeom prst="rect">
                      <a:avLst/>
                    </a:prstGeom>
                    <a:noFill/>
                  </pic:spPr>
                </pic:pic>
              </a:graphicData>
            </a:graphic>
          </wp:inline>
        </w:drawing>
      </w:r>
    </w:p>
    <w:p w14:paraId="2DDE28F7" w14:textId="63289488" w:rsidR="00354DDA" w:rsidRDefault="00354DDA" w:rsidP="004A4E82">
      <w:pPr>
        <w:pStyle w:val="Default"/>
        <w:ind w:firstLine="567"/>
        <w:jc w:val="both"/>
      </w:pPr>
      <w:r w:rsidRPr="00020CD2">
        <w:t xml:space="preserve">, atunci când entitatea de referinţă privind creditul „k” s-a stabilit în conformitate cu </w:t>
      </w:r>
      <w:r w:rsidR="00020CD2" w:rsidRPr="00CA27C5">
        <w:t>punctul 68 subpunctul 2),</w:t>
      </w:r>
    </w:p>
    <w:p w14:paraId="41C4268E" w14:textId="42ABB6C3" w:rsidR="00354DDA" w:rsidRDefault="00E64D26" w:rsidP="00006C2B">
      <w:pPr>
        <w:pStyle w:val="Default"/>
        <w:ind w:firstLine="567"/>
        <w:jc w:val="center"/>
      </w:pPr>
      <w:r>
        <w:rPr>
          <w:noProof/>
          <w:lang w:val="en-US"/>
        </w:rPr>
        <w:drawing>
          <wp:inline distT="0" distB="0" distL="0" distR="0" wp14:anchorId="1E6DF7ED" wp14:editId="60766C4D">
            <wp:extent cx="1012190" cy="262255"/>
            <wp:effectExtent l="0" t="0" r="0" b="4445"/>
            <wp:docPr id="82660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2190" cy="262255"/>
                    </a:xfrm>
                    <a:prstGeom prst="rect">
                      <a:avLst/>
                    </a:prstGeom>
                    <a:noFill/>
                  </pic:spPr>
                </pic:pic>
              </a:graphicData>
            </a:graphic>
          </wp:inline>
        </w:drawing>
      </w:r>
      <w:r w:rsidR="00354DDA">
        <w:t xml:space="preserve">; și </w:t>
      </w:r>
    </w:p>
    <w:p w14:paraId="1D07FCEA" w14:textId="36D23BBF" w:rsidR="00354DDA" w:rsidRDefault="00354DDA" w:rsidP="004A4E82">
      <w:pPr>
        <w:pStyle w:val="Default"/>
        <w:ind w:firstLine="567"/>
        <w:jc w:val="both"/>
      </w:pPr>
      <w:r>
        <w:t xml:space="preserve">AddOn(Entitatek) = majorarea pentru entitatea de referinţă privind creditul k determinată în conformitate cu </w:t>
      </w:r>
      <w:r w:rsidR="00E64D26" w:rsidRPr="00020CD2">
        <w:t xml:space="preserve">punctul </w:t>
      </w:r>
      <w:r w:rsidR="00020CD2" w:rsidRPr="00CA27C5">
        <w:t>71</w:t>
      </w:r>
      <w:r w:rsidRPr="00020CD2">
        <w:t>.</w:t>
      </w:r>
      <w:r>
        <w:t xml:space="preserve"> </w:t>
      </w:r>
    </w:p>
    <w:p w14:paraId="567E62FD" w14:textId="1ECC6186" w:rsidR="00354DDA" w:rsidRDefault="00B7029A" w:rsidP="004A4E82">
      <w:pPr>
        <w:pStyle w:val="Default"/>
        <w:ind w:firstLine="567"/>
        <w:jc w:val="both"/>
      </w:pPr>
      <w:r>
        <w:rPr>
          <w:b/>
          <w:bCs/>
        </w:rPr>
        <w:t>7</w:t>
      </w:r>
      <w:r w:rsidR="004B1CE6">
        <w:rPr>
          <w:b/>
          <w:bCs/>
        </w:rPr>
        <w:t>1</w:t>
      </w:r>
      <w:r w:rsidR="00E64D26" w:rsidRPr="00CA27C5">
        <w:rPr>
          <w:b/>
          <w:bCs/>
        </w:rPr>
        <w:t>.</w:t>
      </w:r>
      <w:r w:rsidR="00354DDA">
        <w:t xml:space="preserve"> </w:t>
      </w:r>
      <w:r w:rsidR="00E64D26">
        <w:t>Băncile</w:t>
      </w:r>
      <w:r w:rsidR="00354DDA">
        <w:t xml:space="preserve"> calculează majorarea pentru entitatea de referinţă privind creditul k după cum urmează: </w:t>
      </w:r>
    </w:p>
    <w:p w14:paraId="49A876C6" w14:textId="3FE9BD69" w:rsidR="00354DDA" w:rsidRDefault="00E64D26" w:rsidP="004A4E82">
      <w:pPr>
        <w:pStyle w:val="Default"/>
        <w:ind w:firstLine="567"/>
        <w:jc w:val="center"/>
      </w:pPr>
      <w:r>
        <w:rPr>
          <w:noProof/>
          <w:lang w:val="en-US"/>
        </w:rPr>
        <w:drawing>
          <wp:inline distT="0" distB="0" distL="0" distR="0" wp14:anchorId="31C5B2EE" wp14:editId="086E1581">
            <wp:extent cx="2458528" cy="271622"/>
            <wp:effectExtent l="0" t="0" r="0" b="0"/>
            <wp:docPr id="15792871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02622" cy="276494"/>
                    </a:xfrm>
                    <a:prstGeom prst="rect">
                      <a:avLst/>
                    </a:prstGeom>
                    <a:noFill/>
                  </pic:spPr>
                </pic:pic>
              </a:graphicData>
            </a:graphic>
          </wp:inline>
        </w:drawing>
      </w:r>
    </w:p>
    <w:p w14:paraId="5EE1753A" w14:textId="77777777" w:rsidR="00354DDA" w:rsidRDefault="00354DDA" w:rsidP="004A4E82">
      <w:pPr>
        <w:pStyle w:val="Default"/>
        <w:ind w:firstLine="567"/>
        <w:jc w:val="both"/>
      </w:pPr>
      <w:r>
        <w:t xml:space="preserve">unde: </w:t>
      </w:r>
    </w:p>
    <w:p w14:paraId="0A5B101C" w14:textId="42908428" w:rsidR="00354DDA" w:rsidRDefault="00E64D26" w:rsidP="004A4E82">
      <w:pPr>
        <w:pStyle w:val="Default"/>
        <w:ind w:firstLine="567"/>
        <w:jc w:val="both"/>
      </w:pPr>
      <w:r>
        <w:rPr>
          <w:noProof/>
          <w:lang w:val="en-US"/>
        </w:rPr>
        <w:drawing>
          <wp:inline distT="0" distB="0" distL="0" distR="0" wp14:anchorId="7CE964FA" wp14:editId="20D3BB11">
            <wp:extent cx="672860" cy="200317"/>
            <wp:effectExtent l="0" t="0" r="0" b="9525"/>
            <wp:docPr id="106155715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1320" cy="202836"/>
                    </a:xfrm>
                    <a:prstGeom prst="rect">
                      <a:avLst/>
                    </a:prstGeom>
                    <a:noFill/>
                  </pic:spPr>
                </pic:pic>
              </a:graphicData>
            </a:graphic>
          </wp:inline>
        </w:drawing>
      </w:r>
      <w:r w:rsidR="00354DDA">
        <w:t xml:space="preserve">= valoarea noţională efectivă a entităţii de referinţă privind creditul k, calculată după cum urmează: </w:t>
      </w:r>
    </w:p>
    <w:p w14:paraId="6285B413" w14:textId="623CC15F" w:rsidR="00354DDA" w:rsidRDefault="00354DDA" w:rsidP="004A4E82">
      <w:pPr>
        <w:pStyle w:val="Default"/>
        <w:ind w:firstLine="567"/>
        <w:jc w:val="both"/>
      </w:pPr>
      <w:r>
        <w:t xml:space="preserve"> </w:t>
      </w:r>
      <w:r w:rsidR="00E64D26">
        <w:rPr>
          <w:noProof/>
          <w:lang w:val="en-US"/>
        </w:rPr>
        <w:drawing>
          <wp:inline distT="0" distB="0" distL="0" distR="0" wp14:anchorId="4FD34961" wp14:editId="77B2EF58">
            <wp:extent cx="5994830" cy="543464"/>
            <wp:effectExtent l="0" t="0" r="0" b="9525"/>
            <wp:docPr id="9051063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8645" cy="561034"/>
                    </a:xfrm>
                    <a:prstGeom prst="rect">
                      <a:avLst/>
                    </a:prstGeom>
                    <a:noFill/>
                  </pic:spPr>
                </pic:pic>
              </a:graphicData>
            </a:graphic>
          </wp:inline>
        </w:drawing>
      </w:r>
    </w:p>
    <w:p w14:paraId="3E5A15B1" w14:textId="77777777" w:rsidR="00354DDA" w:rsidRDefault="00354DDA" w:rsidP="004A4E82">
      <w:pPr>
        <w:pStyle w:val="Default"/>
        <w:ind w:firstLine="567"/>
        <w:jc w:val="both"/>
      </w:pPr>
      <w:r>
        <w:t xml:space="preserve">unde: </w:t>
      </w:r>
    </w:p>
    <w:p w14:paraId="20FF0A82" w14:textId="77777777" w:rsidR="00354DDA" w:rsidRDefault="00354DDA" w:rsidP="004A4E82">
      <w:pPr>
        <w:pStyle w:val="Default"/>
        <w:ind w:firstLine="567"/>
        <w:jc w:val="both"/>
      </w:pPr>
      <w:r>
        <w:t xml:space="preserve">l = indicele care desemnează poziţia de risc (RiskPosition); și </w:t>
      </w:r>
    </w:p>
    <w:p w14:paraId="7342E395" w14:textId="0F039BE7" w:rsidR="00354DDA" w:rsidRDefault="00E64D26" w:rsidP="004A4E82">
      <w:pPr>
        <w:pStyle w:val="Default"/>
        <w:ind w:firstLine="567"/>
        <w:jc w:val="both"/>
      </w:pPr>
      <w:r>
        <w:rPr>
          <w:noProof/>
          <w:lang w:val="en-US"/>
        </w:rPr>
        <w:drawing>
          <wp:inline distT="0" distB="0" distL="0" distR="0" wp14:anchorId="0FCDF498" wp14:editId="6B2D3578">
            <wp:extent cx="534838" cy="258405"/>
            <wp:effectExtent l="0" t="0" r="0" b="8890"/>
            <wp:docPr id="336170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3097" cy="262395"/>
                    </a:xfrm>
                    <a:prstGeom prst="rect">
                      <a:avLst/>
                    </a:prstGeom>
                    <a:noFill/>
                  </pic:spPr>
                </pic:pic>
              </a:graphicData>
            </a:graphic>
          </wp:inline>
        </w:drawing>
      </w:r>
      <w:r w:rsidR="00354DDA">
        <w:t xml:space="preserve">= factorul impus de </w:t>
      </w:r>
      <w:r w:rsidR="00385EFD" w:rsidRPr="00385EFD">
        <w:t>Banca Națională a Moldovei</w:t>
      </w:r>
      <w:r w:rsidR="00354DDA">
        <w:t xml:space="preserve"> aplicabil entităţii de referinţă privind creditul k calculat în conformitate cu </w:t>
      </w:r>
      <w:r w:rsidRPr="005107B8">
        <w:t xml:space="preserve">punctul </w:t>
      </w:r>
      <w:r w:rsidR="005107B8" w:rsidRPr="00CA27C5">
        <w:t>72</w:t>
      </w:r>
      <w:r w:rsidRPr="005107B8">
        <w:t>.</w:t>
      </w:r>
      <w:r w:rsidR="00354DDA">
        <w:t xml:space="preserve"> </w:t>
      </w:r>
    </w:p>
    <w:p w14:paraId="6821BA78" w14:textId="17D88869" w:rsidR="00354DDA" w:rsidRDefault="00B7029A" w:rsidP="004A4E82">
      <w:pPr>
        <w:pStyle w:val="Default"/>
        <w:ind w:firstLine="567"/>
        <w:jc w:val="both"/>
      </w:pPr>
      <w:r>
        <w:rPr>
          <w:b/>
          <w:bCs/>
        </w:rPr>
        <w:t>7</w:t>
      </w:r>
      <w:r w:rsidR="004B1CE6">
        <w:rPr>
          <w:b/>
          <w:bCs/>
        </w:rPr>
        <w:t>2</w:t>
      </w:r>
      <w:r w:rsidR="00E64D26" w:rsidRPr="00CA27C5">
        <w:rPr>
          <w:b/>
          <w:bCs/>
        </w:rPr>
        <w:t>.</w:t>
      </w:r>
      <w:r w:rsidR="00E64D26">
        <w:t xml:space="preserve"> Bănci</w:t>
      </w:r>
      <w:r w:rsidR="00354DDA">
        <w:t xml:space="preserve">le calculează factorul impus de </w:t>
      </w:r>
      <w:r w:rsidR="00385EFD" w:rsidRPr="00385EFD">
        <w:t>Banca Națională a Moldovei</w:t>
      </w:r>
      <w:r w:rsidR="00354DDA">
        <w:t xml:space="preserve"> aplicabil entităţii de referinţă privind creditul k după cum urmează: </w:t>
      </w:r>
    </w:p>
    <w:p w14:paraId="70FB8ACC" w14:textId="43F86CA5" w:rsidR="00354DDA" w:rsidRDefault="00B7029A" w:rsidP="004A4E82">
      <w:pPr>
        <w:pStyle w:val="Default"/>
        <w:ind w:firstLine="567"/>
        <w:jc w:val="both"/>
      </w:pPr>
      <w:r>
        <w:t>1</w:t>
      </w:r>
      <w:r w:rsidR="00354DDA">
        <w:t xml:space="preserve">) pentru entitatea de referinţă privind creditul k stabilită în conformitate cu </w:t>
      </w:r>
      <w:r w:rsidR="005107B8" w:rsidRPr="00020CD2">
        <w:t xml:space="preserve">punctul </w:t>
      </w:r>
      <w:r w:rsidR="005107B8" w:rsidRPr="007531FC">
        <w:t>68 subpunctul 1)</w:t>
      </w:r>
      <w:r w:rsidR="005107B8" w:rsidRPr="00020CD2">
        <w:t>,</w:t>
      </w:r>
    </w:p>
    <w:p w14:paraId="7D08A1F3" w14:textId="5FC650B6" w:rsidR="00354DDA" w:rsidRDefault="00E64D26" w:rsidP="004A4E82">
      <w:pPr>
        <w:pStyle w:val="Default"/>
        <w:ind w:firstLine="567"/>
        <w:jc w:val="center"/>
      </w:pPr>
      <w:r>
        <w:rPr>
          <w:noProof/>
          <w:lang w:val="en-US"/>
        </w:rPr>
        <w:drawing>
          <wp:inline distT="0" distB="0" distL="0" distR="0" wp14:anchorId="462C2B19" wp14:editId="277E3A3F">
            <wp:extent cx="551092" cy="264160"/>
            <wp:effectExtent l="0" t="0" r="1905" b="2540"/>
            <wp:docPr id="872194660"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267" cy="275748"/>
                    </a:xfrm>
                    <a:prstGeom prst="rect">
                      <a:avLst/>
                    </a:prstGeom>
                    <a:noFill/>
                    <a:ln>
                      <a:noFill/>
                    </a:ln>
                  </pic:spPr>
                </pic:pic>
              </a:graphicData>
            </a:graphic>
          </wp:inline>
        </w:drawing>
      </w:r>
    </w:p>
    <w:p w14:paraId="60D611B9" w14:textId="3E09B625" w:rsidR="002F5E3D" w:rsidRDefault="00354DDA" w:rsidP="004A4E82">
      <w:pPr>
        <w:pStyle w:val="Default"/>
        <w:ind w:firstLine="567"/>
        <w:jc w:val="both"/>
      </w:pPr>
      <w:r>
        <w:t xml:space="preserve">este pus în corespondenţă cu unul dintre cei șase factori impuși de </w:t>
      </w:r>
      <w:r w:rsidR="00385EFD" w:rsidRPr="00385EFD">
        <w:t>Banca Națională a Moldovei</w:t>
      </w:r>
      <w:r>
        <w:t xml:space="preserve"> prevăzuţi în tabelul 3 de la prezent</w:t>
      </w:r>
      <w:r w:rsidR="002F5E3D">
        <w:t>a secțiune</w:t>
      </w:r>
      <w:r>
        <w:t xml:space="preserve"> pe baza unei evaluări externe a creditului efectuată de o ECAI desemnată a emitentului individual corespunzător</w:t>
      </w:r>
      <w:r w:rsidR="002F5E3D">
        <w:t>.</w:t>
      </w:r>
    </w:p>
    <w:p w14:paraId="26AE3324" w14:textId="02AA650A" w:rsidR="00354DDA" w:rsidRDefault="002F5E3D" w:rsidP="002F5E3D">
      <w:pPr>
        <w:pStyle w:val="Default"/>
        <w:jc w:val="both"/>
      </w:pPr>
      <w:r>
        <w:t>Î</w:t>
      </w:r>
      <w:r w:rsidR="00354DDA">
        <w:t>n cazul unui emitent individual pentru care nu este disponibilă o evaluare a creditului efectuată de o ECAI desemnată</w:t>
      </w:r>
      <w:r>
        <w:t>,</w:t>
      </w:r>
      <w:r w:rsidR="00354DDA">
        <w:t xml:space="preserve"> </w:t>
      </w:r>
      <w:r w:rsidR="008513CD">
        <w:t>bancă</w:t>
      </w:r>
      <w:r w:rsidR="00354DDA">
        <w:t xml:space="preserve"> care utilizează abordarea</w:t>
      </w:r>
      <w:r>
        <w:t xml:space="preserve"> standardizată conform prevederilor Regulamentului nr.111/2018 cu privire la tratamentul riscului de credit pentru bănci potrivit abordării standardizate </w:t>
      </w:r>
      <w:r w:rsidR="00354DDA">
        <w:t xml:space="preserve">atribuie un </w:t>
      </w:r>
    </w:p>
    <w:p w14:paraId="03ECA10E" w14:textId="1748E222" w:rsidR="00354DDA" w:rsidRDefault="008513CD" w:rsidP="004A4E82">
      <w:pPr>
        <w:pStyle w:val="Default"/>
        <w:ind w:firstLine="567"/>
        <w:jc w:val="center"/>
      </w:pPr>
      <w:r>
        <w:rPr>
          <w:noProof/>
          <w:lang w:val="en-US"/>
        </w:rPr>
        <w:drawing>
          <wp:inline distT="0" distB="0" distL="0" distR="0" wp14:anchorId="4A834D1C" wp14:editId="2A3203F7">
            <wp:extent cx="1190445" cy="273739"/>
            <wp:effectExtent l="0" t="0" r="0" b="0"/>
            <wp:docPr id="2725902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5891" cy="277291"/>
                    </a:xfrm>
                    <a:prstGeom prst="rect">
                      <a:avLst/>
                    </a:prstGeom>
                    <a:noFill/>
                  </pic:spPr>
                </pic:pic>
              </a:graphicData>
            </a:graphic>
          </wp:inline>
        </w:drawing>
      </w:r>
    </w:p>
    <w:p w14:paraId="0ADBEF2F" w14:textId="6EEEB80A" w:rsidR="00354DDA" w:rsidRDefault="00354DDA" w:rsidP="00866FDB">
      <w:pPr>
        <w:pStyle w:val="Default"/>
        <w:tabs>
          <w:tab w:val="left" w:pos="567"/>
        </w:tabs>
        <w:ind w:firstLine="567"/>
      </w:pPr>
      <w:r>
        <w:t>respectivei entităţi de referinţă privind creditul</w:t>
      </w:r>
      <w:r w:rsidR="008513CD">
        <w:t>.</w:t>
      </w:r>
      <w:r>
        <w:t xml:space="preserve"> </w:t>
      </w:r>
      <w:r w:rsidR="008513CD">
        <w:t>C</w:t>
      </w:r>
      <w:r>
        <w:t xml:space="preserve">u toate acestea, în cazul în care o </w:t>
      </w:r>
      <w:r w:rsidR="008513CD">
        <w:t>bancă</w:t>
      </w:r>
      <w:r>
        <w:t xml:space="preserve"> aplică </w:t>
      </w:r>
      <w:r w:rsidR="00DB1DAA">
        <w:t xml:space="preserve">prevederile punctelor 77-80 din Regulamentul nr.111/2018 cu privire la tratamentul riscului de credit pentru bănci potrivit abordării standardizate </w:t>
      </w:r>
      <w:r>
        <w:t xml:space="preserve">pentru a pondera la risc expunerile la riscul de credit al contrapărţii faţă de acest emitent individual, se atribuie un </w:t>
      </w:r>
      <w:r w:rsidR="008513CD">
        <w:rPr>
          <w:noProof/>
          <w:lang w:val="en-US"/>
        </w:rPr>
        <w:drawing>
          <wp:inline distT="0" distB="0" distL="0" distR="0" wp14:anchorId="425FE851" wp14:editId="74605260">
            <wp:extent cx="1095555" cy="269194"/>
            <wp:effectExtent l="0" t="0" r="0" b="0"/>
            <wp:docPr id="17772695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386" cy="280947"/>
                    </a:xfrm>
                    <a:prstGeom prst="rect">
                      <a:avLst/>
                    </a:prstGeom>
                    <a:noFill/>
                  </pic:spPr>
                </pic:pic>
              </a:graphicData>
            </a:graphic>
          </wp:inline>
        </w:drawing>
      </w:r>
    </w:p>
    <w:p w14:paraId="32738D6E" w14:textId="77777777" w:rsidR="00354DDA" w:rsidRDefault="00354DDA" w:rsidP="004A4E82">
      <w:pPr>
        <w:pStyle w:val="Default"/>
        <w:ind w:firstLine="567"/>
        <w:jc w:val="both"/>
      </w:pPr>
      <w:r>
        <w:t xml:space="preserve">respectivei entităţi de referinţă privind creditul; </w:t>
      </w:r>
    </w:p>
    <w:p w14:paraId="5B827E9A" w14:textId="69DC8F99" w:rsidR="00B7029A" w:rsidRDefault="00B7029A" w:rsidP="004A4E82">
      <w:pPr>
        <w:pStyle w:val="Default"/>
        <w:ind w:firstLine="567"/>
        <w:jc w:val="both"/>
      </w:pPr>
      <w:r>
        <w:t>2</w:t>
      </w:r>
      <w:r w:rsidR="00354DDA">
        <w:t>) pentru entităţile de referinţă privind creditul k stabilite în conformitate cu</w:t>
      </w:r>
      <w:r w:rsidR="005107B8">
        <w:t xml:space="preserve"> </w:t>
      </w:r>
      <w:r w:rsidR="005107B8" w:rsidRPr="005107B8">
        <w:t>punctul 68 subpunctul 1)</w:t>
      </w:r>
      <w:r w:rsidR="00354DDA" w:rsidRPr="005107B8">
        <w:t>:</w:t>
      </w:r>
      <w:r w:rsidR="00354DDA">
        <w:t xml:space="preserve"> </w:t>
      </w:r>
    </w:p>
    <w:p w14:paraId="6D192D98" w14:textId="693F7B39" w:rsidR="00354DDA" w:rsidRDefault="00B7029A" w:rsidP="004A4E82">
      <w:pPr>
        <w:pStyle w:val="Default"/>
        <w:ind w:firstLine="567"/>
        <w:jc w:val="both"/>
      </w:pPr>
      <w:r>
        <w:lastRenderedPageBreak/>
        <w:t>a</w:t>
      </w:r>
      <w:r w:rsidR="00354DDA">
        <w:t>) în cazul în care o poziţie de risc l atribuită entităţii de referinţă privind creditul k este un indice de c</w:t>
      </w:r>
      <w:r w:rsidR="005112F9">
        <w:t>r</w:t>
      </w:r>
      <w:r w:rsidR="00354DDA">
        <w:t xml:space="preserve">edit cotat la o bursă recunoscută, </w:t>
      </w:r>
    </w:p>
    <w:p w14:paraId="79F70033" w14:textId="7D6F07BB" w:rsidR="00354DDA" w:rsidRDefault="005D71A6" w:rsidP="004A4E82">
      <w:pPr>
        <w:pStyle w:val="Default"/>
        <w:ind w:firstLine="567"/>
        <w:jc w:val="center"/>
      </w:pPr>
      <w:r>
        <w:rPr>
          <w:noProof/>
          <w:lang w:val="en-US"/>
        </w:rPr>
        <w:drawing>
          <wp:inline distT="0" distB="0" distL="0" distR="0" wp14:anchorId="038ED9C6" wp14:editId="1A452679">
            <wp:extent cx="655607" cy="316754"/>
            <wp:effectExtent l="0" t="0" r="0" b="7620"/>
            <wp:docPr id="128530798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7727" cy="322610"/>
                    </a:xfrm>
                    <a:prstGeom prst="rect">
                      <a:avLst/>
                    </a:prstGeom>
                    <a:noFill/>
                  </pic:spPr>
                </pic:pic>
              </a:graphicData>
            </a:graphic>
          </wp:inline>
        </w:drawing>
      </w:r>
    </w:p>
    <w:p w14:paraId="5DD3F96C" w14:textId="3D8EC903" w:rsidR="00B7029A" w:rsidRDefault="00354DDA" w:rsidP="004A4E82">
      <w:pPr>
        <w:pStyle w:val="Default"/>
        <w:ind w:firstLine="567"/>
        <w:jc w:val="both"/>
      </w:pPr>
      <w:r>
        <w:t xml:space="preserve">este pus în corespondenţă cu unul dintre cei doi factori </w:t>
      </w:r>
      <w:r w:rsidRPr="00F12720">
        <w:t>p</w:t>
      </w:r>
      <w:r>
        <w:t xml:space="preserve">rezentaţi în tabelul 4 de la prezentul </w:t>
      </w:r>
      <w:r w:rsidR="00C90312">
        <w:t>punct</w:t>
      </w:r>
      <w:r>
        <w:t xml:space="preserve">, pe baza calităţii creditului majorităţii componentelor individuale ale acestuia; </w:t>
      </w:r>
    </w:p>
    <w:p w14:paraId="1E1DC0A2" w14:textId="6874767F" w:rsidR="00354DDA" w:rsidRDefault="00B7029A" w:rsidP="004A4E82">
      <w:pPr>
        <w:pStyle w:val="Default"/>
        <w:ind w:firstLine="567"/>
        <w:jc w:val="both"/>
      </w:pPr>
      <w:r>
        <w:t>b</w:t>
      </w:r>
      <w:r w:rsidR="00354DDA">
        <w:t xml:space="preserve">) în cazul în care o poziţie de risc l atribuită entităţii de referinţă privind creditul k nu este menţionată la punctul (i) de la prezenta literă, </w:t>
      </w:r>
    </w:p>
    <w:p w14:paraId="7673D047" w14:textId="2E34D844" w:rsidR="00354DDA" w:rsidRDefault="00E72C01" w:rsidP="004A4E82">
      <w:pPr>
        <w:pStyle w:val="Default"/>
        <w:ind w:firstLine="567"/>
        <w:jc w:val="center"/>
      </w:pPr>
      <w:r>
        <w:rPr>
          <w:noProof/>
          <w:lang w:val="en-US"/>
        </w:rPr>
        <w:drawing>
          <wp:inline distT="0" distB="0" distL="0" distR="0" wp14:anchorId="7BC50379" wp14:editId="50232BD3">
            <wp:extent cx="689825" cy="333286"/>
            <wp:effectExtent l="0" t="0" r="0" b="0"/>
            <wp:docPr id="167049416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9098" cy="337766"/>
                    </a:xfrm>
                    <a:prstGeom prst="rect">
                      <a:avLst/>
                    </a:prstGeom>
                    <a:noFill/>
                  </pic:spPr>
                </pic:pic>
              </a:graphicData>
            </a:graphic>
          </wp:inline>
        </w:drawing>
      </w:r>
    </w:p>
    <w:p w14:paraId="540A344B" w14:textId="55F61C02" w:rsidR="00354DDA" w:rsidRDefault="00354DDA" w:rsidP="004A4E82">
      <w:pPr>
        <w:pStyle w:val="Default"/>
        <w:ind w:firstLine="567"/>
        <w:jc w:val="both"/>
      </w:pPr>
      <w:r>
        <w:t xml:space="preserve">este media ponderată a factorilor impuși de </w:t>
      </w:r>
      <w:r w:rsidR="00385EFD" w:rsidRPr="00385EFD">
        <w:t>Banca Națională a Moldovei</w:t>
      </w:r>
      <w:r>
        <w:t xml:space="preserve"> puși în corespondenţă cu fiecare componentă în conformitate cu metoda prevăzută la litera (a), ponderile fiind date de proporţia valorii noţionale a componentelor incluse în această poziţie. </w:t>
      </w:r>
    </w:p>
    <w:p w14:paraId="26850EDE" w14:textId="77777777" w:rsidR="00354DDA" w:rsidRDefault="00354DDA" w:rsidP="004A4E82">
      <w:pPr>
        <w:pStyle w:val="Default"/>
        <w:ind w:firstLine="567"/>
        <w:jc w:val="right"/>
      </w:pPr>
      <w:r>
        <w:t>Tabelul 3</w:t>
      </w:r>
    </w:p>
    <w:tbl>
      <w:tblPr>
        <w:tblW w:w="933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326"/>
        <w:gridCol w:w="7013"/>
      </w:tblGrid>
      <w:tr w:rsidR="00D33E8E" w:rsidRPr="00AE7048" w14:paraId="3254F9C8"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1D816" w14:textId="77777777" w:rsidR="00D33E8E" w:rsidRPr="00623501" w:rsidRDefault="00D33E8E" w:rsidP="00623501">
            <w:pPr>
              <w:spacing w:before="60" w:after="60" w:line="312" w:lineRule="atLeast"/>
              <w:rPr>
                <w:rFonts w:ascii="Times New Roman" w:eastAsia="Times New Roman" w:hAnsi="Times New Roman" w:cs="Times New Roman"/>
                <w:b/>
                <w:bCs/>
                <w:color w:val="333333"/>
                <w:lang w:eastAsia="ro-MD"/>
              </w:rPr>
            </w:pPr>
            <w:r w:rsidRPr="00623501">
              <w:rPr>
                <w:rFonts w:ascii="Times New Roman" w:eastAsia="Times New Roman" w:hAnsi="Times New Roman" w:cs="Times New Roman"/>
                <w:b/>
                <w:bCs/>
                <w:color w:val="333333"/>
                <w:lang w:eastAsia="ro-MD"/>
              </w:rPr>
              <w:t>Nivelul de calitate a creditului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B7FDC" w14:textId="7AFECD9B" w:rsidR="00D33E8E" w:rsidRPr="00623501" w:rsidRDefault="00D33E8E" w:rsidP="00623501">
            <w:pPr>
              <w:spacing w:before="60" w:after="60" w:line="312" w:lineRule="atLeast"/>
              <w:rPr>
                <w:rFonts w:ascii="Times New Roman" w:eastAsia="Times New Roman" w:hAnsi="Times New Roman" w:cs="Times New Roman"/>
                <w:b/>
                <w:bCs/>
                <w:color w:val="333333"/>
                <w:lang w:eastAsia="ro-MD"/>
              </w:rPr>
            </w:pPr>
            <w:r w:rsidRPr="00623501">
              <w:rPr>
                <w:rFonts w:ascii="Times New Roman" w:eastAsia="Times New Roman" w:hAnsi="Times New Roman" w:cs="Times New Roman"/>
                <w:b/>
                <w:bCs/>
                <w:color w:val="333333"/>
                <w:lang w:eastAsia="ro-MD"/>
              </w:rPr>
              <w:t xml:space="preserve">Factorul impus de </w:t>
            </w:r>
            <w:r w:rsidR="00385EFD" w:rsidRPr="00623501">
              <w:rPr>
                <w:rFonts w:ascii="Times New Roman" w:hAnsi="Times New Roman" w:cs="Times New Roman"/>
                <w:b/>
                <w:bCs/>
              </w:rPr>
              <w:t>Banca Națională a Moldovei</w:t>
            </w:r>
            <w:r w:rsidRPr="00623501">
              <w:rPr>
                <w:rFonts w:ascii="Times New Roman" w:eastAsia="Times New Roman" w:hAnsi="Times New Roman" w:cs="Times New Roman"/>
                <w:b/>
                <w:bCs/>
                <w:color w:val="333333"/>
                <w:lang w:eastAsia="ro-MD"/>
              </w:rPr>
              <w:t xml:space="preserve"> pentru tranzacții având la bază o singură semnătură</w:t>
            </w:r>
          </w:p>
        </w:tc>
      </w:tr>
      <w:tr w:rsidR="00D33E8E" w:rsidRPr="00AE7048" w14:paraId="6EC058FE"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F45DA"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767A7"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0,38 %</w:t>
            </w:r>
          </w:p>
        </w:tc>
      </w:tr>
      <w:tr w:rsidR="00D33E8E" w:rsidRPr="00AE7048" w14:paraId="48D2D2C7"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30015"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7108E"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0,42 %</w:t>
            </w:r>
          </w:p>
        </w:tc>
      </w:tr>
      <w:tr w:rsidR="00D33E8E" w:rsidRPr="00AE7048" w14:paraId="62D3F7CC"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D092A"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5672C"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0,54 %</w:t>
            </w:r>
          </w:p>
        </w:tc>
      </w:tr>
      <w:tr w:rsidR="00D33E8E" w:rsidRPr="00AE7048" w14:paraId="520F2CCB"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62DC4"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69E2E"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1,06 %</w:t>
            </w:r>
          </w:p>
        </w:tc>
      </w:tr>
      <w:tr w:rsidR="00D33E8E" w:rsidRPr="00AE7048" w14:paraId="6C0890A8"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638AC"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28D88D"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1,6 %</w:t>
            </w:r>
          </w:p>
        </w:tc>
      </w:tr>
      <w:tr w:rsidR="00D33E8E" w:rsidRPr="00AE7048" w14:paraId="392E9AE0" w14:textId="77777777" w:rsidTr="000642F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26B67"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F1753"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6,0 %</w:t>
            </w:r>
          </w:p>
        </w:tc>
      </w:tr>
    </w:tbl>
    <w:p w14:paraId="3D73FB1B" w14:textId="77777777" w:rsidR="00354DDA" w:rsidRDefault="00354DDA" w:rsidP="004A4E82">
      <w:pPr>
        <w:pStyle w:val="Default"/>
        <w:ind w:firstLine="567"/>
        <w:jc w:val="both"/>
      </w:pPr>
    </w:p>
    <w:p w14:paraId="257514E0" w14:textId="77777777" w:rsidR="00354DDA" w:rsidRDefault="00354DDA" w:rsidP="004A4E82">
      <w:pPr>
        <w:pStyle w:val="Default"/>
        <w:ind w:firstLine="567"/>
        <w:jc w:val="right"/>
      </w:pPr>
      <w:r>
        <w:t>Tabelul 4</w:t>
      </w:r>
    </w:p>
    <w:tbl>
      <w:tblPr>
        <w:tblW w:w="945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50"/>
        <w:gridCol w:w="6009"/>
      </w:tblGrid>
      <w:tr w:rsidR="00D33E8E" w:rsidRPr="00AE7048" w14:paraId="1A462CAE" w14:textId="77777777" w:rsidTr="004B5ABF">
        <w:trPr>
          <w:trHeight w:val="504"/>
        </w:trPr>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6681E100" w14:textId="77777777" w:rsidR="00D33E8E" w:rsidRPr="00623501" w:rsidRDefault="00D33E8E" w:rsidP="004B5ABF">
            <w:pPr>
              <w:spacing w:before="60" w:after="60" w:line="312" w:lineRule="atLeast"/>
              <w:rPr>
                <w:rFonts w:ascii="Times New Roman" w:eastAsia="Times New Roman" w:hAnsi="Times New Roman" w:cs="Times New Roman"/>
                <w:b/>
                <w:bCs/>
                <w:color w:val="333333"/>
                <w:lang w:eastAsia="ro-MD"/>
              </w:rPr>
            </w:pPr>
            <w:r w:rsidRPr="00623501">
              <w:rPr>
                <w:rFonts w:ascii="Times New Roman" w:eastAsia="Times New Roman" w:hAnsi="Times New Roman" w:cs="Times New Roman"/>
                <w:b/>
                <w:bCs/>
                <w:color w:val="333333"/>
                <w:lang w:eastAsia="ro-MD"/>
              </w:rPr>
              <w:t>Calitatea creditului dominantă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1B915" w14:textId="1B0DCF50" w:rsidR="00D33E8E" w:rsidRPr="00623501" w:rsidRDefault="00D33E8E" w:rsidP="00006C2B">
            <w:pPr>
              <w:spacing w:before="60" w:after="60" w:line="312" w:lineRule="atLeast"/>
              <w:rPr>
                <w:rFonts w:ascii="Times New Roman" w:eastAsia="Times New Roman" w:hAnsi="Times New Roman" w:cs="Times New Roman"/>
                <w:b/>
                <w:bCs/>
                <w:color w:val="333333"/>
                <w:lang w:eastAsia="ro-MD"/>
              </w:rPr>
            </w:pPr>
            <w:r w:rsidRPr="00623501">
              <w:rPr>
                <w:rFonts w:ascii="Times New Roman" w:eastAsia="Times New Roman" w:hAnsi="Times New Roman" w:cs="Times New Roman"/>
                <w:b/>
                <w:bCs/>
                <w:color w:val="333333"/>
                <w:lang w:eastAsia="ro-MD"/>
              </w:rPr>
              <w:t xml:space="preserve">Factorul impus de </w:t>
            </w:r>
            <w:r w:rsidR="00385EFD" w:rsidRPr="00623501">
              <w:rPr>
                <w:rFonts w:ascii="Times New Roman" w:hAnsi="Times New Roman" w:cs="Times New Roman"/>
                <w:b/>
                <w:bCs/>
              </w:rPr>
              <w:t>Banca Națională a Moldovei</w:t>
            </w:r>
            <w:r w:rsidRPr="00623501">
              <w:rPr>
                <w:rFonts w:ascii="Times New Roman" w:eastAsia="Times New Roman" w:hAnsi="Times New Roman" w:cs="Times New Roman"/>
                <w:b/>
                <w:bCs/>
                <w:color w:val="333333"/>
                <w:lang w:eastAsia="ro-MD"/>
              </w:rPr>
              <w:t xml:space="preserve"> pentru indici cotați</w:t>
            </w:r>
          </w:p>
        </w:tc>
      </w:tr>
      <w:tr w:rsidR="00D33E8E" w:rsidRPr="00AE7048" w14:paraId="3A716CDB" w14:textId="77777777" w:rsidTr="004B5ABF">
        <w:trPr>
          <w:trHeight w:val="357"/>
        </w:trPr>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112CBEB8" w14:textId="77777777" w:rsidR="00D33E8E" w:rsidRPr="00623501" w:rsidRDefault="00D33E8E" w:rsidP="004B5ABF">
            <w:pPr>
              <w:spacing w:before="60" w:after="60" w:line="312" w:lineRule="atLeast"/>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Categoria investment grade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D5276"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0,38 %</w:t>
            </w:r>
          </w:p>
        </w:tc>
      </w:tr>
      <w:tr w:rsidR="00D33E8E" w:rsidRPr="00AE7048" w14:paraId="293997E7" w14:textId="77777777" w:rsidTr="004B5ABF">
        <w:trPr>
          <w:trHeight w:val="420"/>
        </w:trPr>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2C69EE4B" w14:textId="77777777" w:rsidR="00D33E8E" w:rsidRPr="00623501" w:rsidRDefault="00D33E8E" w:rsidP="004B5ABF">
            <w:pPr>
              <w:spacing w:before="60" w:after="60" w:line="312" w:lineRule="atLeast"/>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Categoria non-investment grade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779D3" w14:textId="77777777" w:rsidR="00D33E8E" w:rsidRPr="00623501" w:rsidRDefault="00D33E8E" w:rsidP="00623501">
            <w:pPr>
              <w:spacing w:before="60" w:after="60" w:line="312" w:lineRule="atLeast"/>
              <w:ind w:firstLine="567"/>
              <w:jc w:val="center"/>
              <w:rPr>
                <w:rFonts w:ascii="Times New Roman" w:eastAsia="Times New Roman" w:hAnsi="Times New Roman" w:cs="Times New Roman"/>
                <w:color w:val="333333"/>
                <w:lang w:eastAsia="ro-MD"/>
              </w:rPr>
            </w:pPr>
            <w:r w:rsidRPr="00623501">
              <w:rPr>
                <w:rFonts w:ascii="Times New Roman" w:eastAsia="Times New Roman" w:hAnsi="Times New Roman" w:cs="Times New Roman"/>
                <w:color w:val="333333"/>
                <w:lang w:eastAsia="ro-MD"/>
              </w:rPr>
              <w:t>1,06 %</w:t>
            </w:r>
          </w:p>
        </w:tc>
      </w:tr>
    </w:tbl>
    <w:p w14:paraId="4D060D83" w14:textId="3F331797" w:rsidR="00D33E8E" w:rsidRDefault="00D33E8E"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15</w:t>
      </w:r>
      <w:r w:rsidR="0099409E">
        <w:rPr>
          <w:i/>
          <w:iCs/>
          <w:color w:val="000000"/>
        </w:rPr>
        <w:t>-a</w:t>
      </w:r>
    </w:p>
    <w:p w14:paraId="68852CEB" w14:textId="77777777" w:rsidR="00354DDA" w:rsidRPr="00CA27C5" w:rsidRDefault="00354DDA" w:rsidP="004A4E82">
      <w:pPr>
        <w:pStyle w:val="Default"/>
        <w:ind w:firstLine="567"/>
        <w:jc w:val="center"/>
        <w:rPr>
          <w:b/>
          <w:bCs/>
        </w:rPr>
      </w:pPr>
      <w:r w:rsidRPr="00CA27C5">
        <w:rPr>
          <w:b/>
          <w:bCs/>
        </w:rPr>
        <w:t>Majorarea aferentă categoriei de risc privind titlurile de capital</w:t>
      </w:r>
    </w:p>
    <w:p w14:paraId="31243B76" w14:textId="242C14C7" w:rsidR="00B7029A" w:rsidRDefault="00B7029A" w:rsidP="004A4E82">
      <w:pPr>
        <w:pStyle w:val="Default"/>
        <w:ind w:firstLine="567"/>
        <w:jc w:val="both"/>
      </w:pPr>
      <w:r>
        <w:rPr>
          <w:b/>
          <w:bCs/>
        </w:rPr>
        <w:t>7</w:t>
      </w:r>
      <w:r w:rsidR="004B1CE6">
        <w:rPr>
          <w:b/>
          <w:bCs/>
        </w:rPr>
        <w:t>3</w:t>
      </w:r>
      <w:r w:rsidR="00D33E8E" w:rsidRPr="00CA27C5">
        <w:rPr>
          <w:b/>
          <w:bCs/>
        </w:rPr>
        <w:t>.</w:t>
      </w:r>
      <w:r w:rsidR="00354DDA">
        <w:t xml:space="preserve"> În sensul </w:t>
      </w:r>
      <w:r w:rsidR="00D33E8E" w:rsidRPr="005107B8">
        <w:t xml:space="preserve">punctului </w:t>
      </w:r>
      <w:r w:rsidR="005107B8" w:rsidRPr="005107B8">
        <w:t>7</w:t>
      </w:r>
      <w:r w:rsidR="005107B8">
        <w:t>4</w:t>
      </w:r>
      <w:r w:rsidR="00354DDA">
        <w:t xml:space="preserve">, </w:t>
      </w:r>
      <w:r w:rsidR="00D33E8E">
        <w:t>băncile</w:t>
      </w:r>
      <w:r w:rsidR="00354DDA">
        <w:t xml:space="preserve"> stabilesc entităţile de referinţă relevante privind titlurile de capital pentru setul de compensare în conformitate cu următoarele: </w:t>
      </w:r>
    </w:p>
    <w:p w14:paraId="56E58237" w14:textId="66890B2C" w:rsidR="00354DDA" w:rsidRDefault="00D46886" w:rsidP="004A4E82">
      <w:pPr>
        <w:pStyle w:val="Default"/>
        <w:ind w:firstLine="567"/>
        <w:jc w:val="both"/>
      </w:pPr>
      <w:r w:rsidRPr="00D46886">
        <w:t>1)</w:t>
      </w:r>
      <w:r w:rsidR="00354DDA">
        <w:t xml:space="preserve"> pentru fiecare emitent al unui instrument de capital de referinţă care este suport al unei tranzacţii având la bază o singură semnătură atribuite categoriei de risc privind titlurile de capital există o singură entitate de referinţă privind titlurile de capital; tranzacţiile având la bază o singură semnătură sunt atribuite aceleiași entităţi de referinţă privind titlurile de capital numai în cazul în care instrumentul de capital de referinţă care este suport al tranzacţiilor respective este emis de același emitent; </w:t>
      </w:r>
    </w:p>
    <w:p w14:paraId="3DC15F28" w14:textId="1CB0555E" w:rsidR="00354DDA" w:rsidRDefault="00B7029A" w:rsidP="004A4E82">
      <w:pPr>
        <w:pStyle w:val="Default"/>
        <w:ind w:firstLine="567"/>
        <w:jc w:val="both"/>
      </w:pPr>
      <w:r>
        <w:lastRenderedPageBreak/>
        <w:t>2</w:t>
      </w:r>
      <w:r w:rsidR="00354DDA">
        <w:t xml:space="preserve">) pentru fiecare grup de instrumente de capital de referinţă sau de instrumente financiare derivate pe titluri de capital având la bază o singură semnătură care sunt suport al unei tranzacţii având la bază mai multe semnături atribuite categoriei de risc privind titlurile de capital există o singură entitate de referinţă privind titlurile de capital; tranzacţiile având la bază mai multe semnături sunt atribuite aceleiași entităţi de referinţă privind titlurile de capital numai în cazul în care grupul de instrumente de capital de referinţă sau de instrumente financiare derivate pe titluri de capital având la bază o singură semnătură care sunt suport al tranzacţiilor respective, după caz, are aceleași componente. </w:t>
      </w:r>
    </w:p>
    <w:p w14:paraId="3E6C5FF1" w14:textId="33AC900A" w:rsidR="00354DDA" w:rsidRDefault="00B7029A" w:rsidP="004A4E82">
      <w:pPr>
        <w:pStyle w:val="Default"/>
        <w:ind w:firstLine="567"/>
        <w:jc w:val="both"/>
      </w:pPr>
      <w:r>
        <w:rPr>
          <w:b/>
          <w:bCs/>
        </w:rPr>
        <w:t>7</w:t>
      </w:r>
      <w:r w:rsidR="004B1CE6">
        <w:rPr>
          <w:b/>
          <w:bCs/>
        </w:rPr>
        <w:t>4</w:t>
      </w:r>
      <w:r w:rsidR="00D33E8E" w:rsidRPr="00CA27C5">
        <w:rPr>
          <w:b/>
          <w:bCs/>
        </w:rPr>
        <w:t>.</w:t>
      </w:r>
      <w:r w:rsidR="00354DDA">
        <w:t xml:space="preserve"> În sensul </w:t>
      </w:r>
      <w:r w:rsidR="005107B8">
        <w:t xml:space="preserve">punctelor </w:t>
      </w:r>
      <w:r w:rsidR="00E9224C">
        <w:t>51-53</w:t>
      </w:r>
      <w:r w:rsidR="00354DDA">
        <w:t xml:space="preserve">, </w:t>
      </w:r>
      <w:r w:rsidR="00D33E8E">
        <w:t>băncile</w:t>
      </w:r>
      <w:r w:rsidR="00354DDA">
        <w:t xml:space="preserve"> calculează majorarea aferentă categoriei de risc privind titlurile de capital pentru un anumit set de compensare după cum urmează: </w:t>
      </w:r>
    </w:p>
    <w:p w14:paraId="5EA9754B" w14:textId="3089A3ED" w:rsidR="00354DDA" w:rsidRDefault="00E05C43" w:rsidP="004A4E82">
      <w:pPr>
        <w:pStyle w:val="Default"/>
        <w:ind w:firstLine="567"/>
        <w:jc w:val="center"/>
      </w:pPr>
      <w:r>
        <w:rPr>
          <w:noProof/>
          <w:lang w:val="en-US"/>
        </w:rPr>
        <w:drawing>
          <wp:inline distT="0" distB="0" distL="0" distR="0" wp14:anchorId="0E051106" wp14:editId="736AD590">
            <wp:extent cx="3407434" cy="451588"/>
            <wp:effectExtent l="0" t="0" r="2540" b="5715"/>
            <wp:docPr id="618915979" name="Picture 41" descr="A mathematical equation with a equal sig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15979" name="Picture 41" descr="A mathematical equation with a equal sign  Description automatically generated with medium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87826" cy="462242"/>
                    </a:xfrm>
                    <a:prstGeom prst="rect">
                      <a:avLst/>
                    </a:prstGeom>
                    <a:noFill/>
                  </pic:spPr>
                </pic:pic>
              </a:graphicData>
            </a:graphic>
          </wp:inline>
        </w:drawing>
      </w:r>
    </w:p>
    <w:p w14:paraId="2605A8CC" w14:textId="77777777" w:rsidR="00354DDA" w:rsidRDefault="00354DDA" w:rsidP="004A4E82">
      <w:pPr>
        <w:pStyle w:val="Default"/>
        <w:ind w:firstLine="567"/>
        <w:jc w:val="both"/>
      </w:pPr>
      <w:r>
        <w:t xml:space="preserve">unde: </w:t>
      </w:r>
    </w:p>
    <w:p w14:paraId="422958D3" w14:textId="10E16AE0" w:rsidR="00354DDA" w:rsidRDefault="00E05C43" w:rsidP="004A4E82">
      <w:pPr>
        <w:pStyle w:val="Default"/>
        <w:ind w:firstLine="567"/>
        <w:jc w:val="both"/>
      </w:pPr>
      <w:r w:rsidRPr="006C31DC">
        <w:t xml:space="preserve">AddOn </w:t>
      </w:r>
      <w:r w:rsidRPr="00036E1F">
        <w:rPr>
          <w:vertAlign w:val="superscript"/>
        </w:rPr>
        <w:t>Titluri de capital</w:t>
      </w:r>
      <w:r w:rsidRPr="006C31DC">
        <w:t xml:space="preserve"> </w:t>
      </w:r>
      <w:r w:rsidR="00354DDA">
        <w:t xml:space="preserve">= majorarea aferentă categoriei de risc privind titlurile de capital; </w:t>
      </w:r>
    </w:p>
    <w:p w14:paraId="474171C4" w14:textId="40BB60FB" w:rsidR="00354DDA" w:rsidRDefault="00354DDA" w:rsidP="004A4E82">
      <w:pPr>
        <w:pStyle w:val="Default"/>
        <w:ind w:firstLine="567"/>
        <w:jc w:val="both"/>
      </w:pPr>
      <w:r>
        <w:t>j = indicele care desemnează toate seturile de acoperire a riscului privind titlurile de capital stabilite în conformitate cu</w:t>
      </w:r>
      <w:r w:rsidR="00D46886">
        <w:t xml:space="preserve"> punctul 48 subpunctul 4) și cu punctul 49</w:t>
      </w:r>
      <w:r>
        <w:t xml:space="preserve"> pentru setul de compensare; și </w:t>
      </w:r>
    </w:p>
    <w:p w14:paraId="34B6413F" w14:textId="5AFBD6F8" w:rsidR="00354DDA" w:rsidRDefault="00E05C43" w:rsidP="004A4E82">
      <w:pPr>
        <w:pStyle w:val="Default"/>
        <w:ind w:firstLine="567"/>
        <w:jc w:val="both"/>
      </w:pPr>
      <w:r>
        <w:rPr>
          <w:noProof/>
          <w:lang w:val="en-US"/>
        </w:rPr>
        <w:drawing>
          <wp:inline distT="0" distB="0" distL="0" distR="0" wp14:anchorId="0AE4D2D4" wp14:editId="0778C079">
            <wp:extent cx="1337094" cy="260191"/>
            <wp:effectExtent l="0" t="0" r="0" b="6985"/>
            <wp:docPr id="81465637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56210" cy="263911"/>
                    </a:xfrm>
                    <a:prstGeom prst="rect">
                      <a:avLst/>
                    </a:prstGeom>
                    <a:noFill/>
                  </pic:spPr>
                </pic:pic>
              </a:graphicData>
            </a:graphic>
          </wp:inline>
        </w:drawing>
      </w:r>
      <w:r w:rsidR="00354DDA">
        <w:t xml:space="preserve">= majorarea aferentă categoriei de risc privind titlurile de capital pentru setul de acoperire a riscului j calculat în conformitate cu </w:t>
      </w:r>
      <w:r w:rsidRPr="00D46886">
        <w:t xml:space="preserve">punctul </w:t>
      </w:r>
      <w:r w:rsidR="00D46886" w:rsidRPr="00CA27C5">
        <w:t>75</w:t>
      </w:r>
      <w:r w:rsidRPr="00D46886">
        <w:t>.</w:t>
      </w:r>
    </w:p>
    <w:p w14:paraId="4EF1EDF2" w14:textId="47A04D9A" w:rsidR="00354DDA" w:rsidRDefault="00B7029A" w:rsidP="004A4E82">
      <w:pPr>
        <w:pStyle w:val="Default"/>
        <w:ind w:firstLine="567"/>
        <w:jc w:val="both"/>
      </w:pPr>
      <w:r>
        <w:rPr>
          <w:b/>
          <w:bCs/>
        </w:rPr>
        <w:t>7</w:t>
      </w:r>
      <w:r w:rsidR="004B1CE6">
        <w:rPr>
          <w:b/>
          <w:bCs/>
        </w:rPr>
        <w:t>5</w:t>
      </w:r>
      <w:r w:rsidR="00E05C43" w:rsidRPr="00CA27C5">
        <w:rPr>
          <w:b/>
          <w:bCs/>
        </w:rPr>
        <w:t>.</w:t>
      </w:r>
      <w:r w:rsidR="00354DDA">
        <w:t xml:space="preserve"> </w:t>
      </w:r>
      <w:r w:rsidR="00E05C43">
        <w:t>Băncile</w:t>
      </w:r>
      <w:r w:rsidR="00354DDA">
        <w:t xml:space="preserve"> calculează majorarea aferentă categoriei de risc privind titlurile de capital pentru setul de acoperire a riscului j după cum urmează: </w:t>
      </w:r>
    </w:p>
    <w:p w14:paraId="32423182" w14:textId="4971455F" w:rsidR="00354DDA" w:rsidRDefault="00354DDA" w:rsidP="004A4E82">
      <w:pPr>
        <w:pStyle w:val="Default"/>
        <w:ind w:firstLine="567"/>
        <w:jc w:val="both"/>
      </w:pPr>
      <w:r>
        <w:t xml:space="preserve"> </w:t>
      </w:r>
      <w:r w:rsidR="00E05C43">
        <w:rPr>
          <w:noProof/>
          <w:lang w:val="en-US"/>
        </w:rPr>
        <w:drawing>
          <wp:inline distT="0" distB="0" distL="0" distR="0" wp14:anchorId="197F1FC9" wp14:editId="30AFFCCC">
            <wp:extent cx="6140663" cy="531889"/>
            <wp:effectExtent l="0" t="0" r="0" b="1905"/>
            <wp:docPr id="384234082" name="Picture 43" descr="A close-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34082" name="Picture 43" descr="A close-up of a sign  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83507" cy="578909"/>
                    </a:xfrm>
                    <a:prstGeom prst="rect">
                      <a:avLst/>
                    </a:prstGeom>
                    <a:noFill/>
                  </pic:spPr>
                </pic:pic>
              </a:graphicData>
            </a:graphic>
          </wp:inline>
        </w:drawing>
      </w:r>
    </w:p>
    <w:p w14:paraId="307224D7" w14:textId="77777777" w:rsidR="00354DDA" w:rsidRDefault="00354DDA" w:rsidP="004A4E82">
      <w:pPr>
        <w:pStyle w:val="Default"/>
        <w:ind w:firstLine="567"/>
        <w:jc w:val="both"/>
      </w:pPr>
      <w:r>
        <w:t xml:space="preserve">unde: </w:t>
      </w:r>
    </w:p>
    <w:p w14:paraId="25FC1311" w14:textId="280BDC6F" w:rsidR="00354DDA" w:rsidRDefault="00354DDA" w:rsidP="004A4E82">
      <w:pPr>
        <w:pStyle w:val="Default"/>
        <w:ind w:firstLine="567"/>
        <w:jc w:val="both"/>
      </w:pPr>
      <w:r>
        <w:t xml:space="preserve"> </w:t>
      </w:r>
      <w:r w:rsidR="00E05C43">
        <w:rPr>
          <w:noProof/>
          <w:lang w:val="en-US"/>
        </w:rPr>
        <w:drawing>
          <wp:inline distT="0" distB="0" distL="0" distR="0" wp14:anchorId="6A14556E" wp14:editId="291E4543">
            <wp:extent cx="1335405" cy="262255"/>
            <wp:effectExtent l="0" t="0" r="0" b="4445"/>
            <wp:docPr id="178731667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35405" cy="262255"/>
                    </a:xfrm>
                    <a:prstGeom prst="rect">
                      <a:avLst/>
                    </a:prstGeom>
                    <a:noFill/>
                  </pic:spPr>
                </pic:pic>
              </a:graphicData>
            </a:graphic>
          </wp:inline>
        </w:drawing>
      </w:r>
      <w:r>
        <w:t xml:space="preserve"> = majorarea aferentă categoriei de risc privind titlurile de capital pentru setul de acoperire a riscului j; </w:t>
      </w:r>
    </w:p>
    <w:p w14:paraId="5274272D" w14:textId="7F5F65BB" w:rsidR="00354DDA" w:rsidRDefault="00354DDA" w:rsidP="004A4E82">
      <w:pPr>
        <w:pStyle w:val="Default"/>
        <w:ind w:firstLine="567"/>
        <w:jc w:val="both"/>
      </w:pPr>
      <w:r>
        <w:t xml:space="preserve">єj = coeficientul factorului impus de </w:t>
      </w:r>
      <w:r w:rsidR="00385EFD" w:rsidRPr="00385EFD">
        <w:t>Banca Națională a Moldovei</w:t>
      </w:r>
      <w:r>
        <w:t xml:space="preserve"> aferent setului de acoperire a riscului pentru setul de acoperire a riscului j determinat în conformitate cu </w:t>
      </w:r>
      <w:r w:rsidR="00D46886">
        <w:t>punctul 62</w:t>
      </w:r>
      <w:r>
        <w:t xml:space="preserve">; </w:t>
      </w:r>
    </w:p>
    <w:p w14:paraId="4D0FC56F" w14:textId="045DC757" w:rsidR="00354DDA" w:rsidRDefault="00354DDA" w:rsidP="004A4E82">
      <w:pPr>
        <w:pStyle w:val="Default"/>
        <w:ind w:firstLine="567"/>
        <w:jc w:val="both"/>
      </w:pPr>
      <w:r>
        <w:t xml:space="preserve">k = indicele care desemnează entităţile de referinţă privind titlurile de capital ale setului de compensare stabilit în conformitate cu </w:t>
      </w:r>
      <w:r w:rsidR="008166FF" w:rsidRPr="00D46886">
        <w:t xml:space="preserve">punctul </w:t>
      </w:r>
      <w:r w:rsidR="00D46886">
        <w:t>73</w:t>
      </w:r>
      <w:r>
        <w:t xml:space="preserve">; </w:t>
      </w:r>
    </w:p>
    <w:p w14:paraId="7116163A" w14:textId="0450C900" w:rsidR="00354DDA" w:rsidRDefault="008166FF" w:rsidP="004A4E82">
      <w:pPr>
        <w:pStyle w:val="Default"/>
        <w:ind w:firstLine="567"/>
        <w:jc w:val="both"/>
      </w:pPr>
      <w:r>
        <w:rPr>
          <w:noProof/>
          <w:lang w:val="en-US"/>
        </w:rPr>
        <w:drawing>
          <wp:inline distT="0" distB="0" distL="0" distR="0" wp14:anchorId="15E9946D" wp14:editId="3CEFE966">
            <wp:extent cx="974785" cy="256193"/>
            <wp:effectExtent l="0" t="0" r="0" b="0"/>
            <wp:docPr id="156082706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0171" cy="268121"/>
                    </a:xfrm>
                    <a:prstGeom prst="rect">
                      <a:avLst/>
                    </a:prstGeom>
                    <a:noFill/>
                  </pic:spPr>
                </pic:pic>
              </a:graphicData>
            </a:graphic>
          </wp:inline>
        </w:drawing>
      </w:r>
      <w:r w:rsidR="00354DDA">
        <w:t>= factorul de corelare al entităţii de referinţă privind titlurile de capital k</w:t>
      </w:r>
      <w:r>
        <w:t>.</w:t>
      </w:r>
      <w:r w:rsidR="00354DDA">
        <w:t xml:space="preserve"> </w:t>
      </w:r>
      <w:r>
        <w:t>Î</w:t>
      </w:r>
      <w:r w:rsidR="00354DDA">
        <w:t xml:space="preserve">n cazul în care entitatea de referinţă privind titlurile de capital k a fost stabilită în conformitate cu </w:t>
      </w:r>
      <w:r w:rsidRPr="00D46886">
        <w:t xml:space="preserve">punctul </w:t>
      </w:r>
      <w:r w:rsidR="00D46886">
        <w:t>73 subpunctul 1)</w:t>
      </w:r>
      <w:r w:rsidR="00354DDA">
        <w:t xml:space="preserve">, </w:t>
      </w:r>
    </w:p>
    <w:p w14:paraId="775FA647" w14:textId="49C02224" w:rsidR="00354DDA" w:rsidRDefault="008166FF" w:rsidP="004A4E82">
      <w:pPr>
        <w:pStyle w:val="Default"/>
        <w:ind w:firstLine="567"/>
        <w:jc w:val="center"/>
      </w:pPr>
      <w:r>
        <w:rPr>
          <w:noProof/>
          <w:lang w:val="en-US"/>
        </w:rPr>
        <w:drawing>
          <wp:inline distT="0" distB="0" distL="0" distR="0" wp14:anchorId="72989263" wp14:editId="6234D5FA">
            <wp:extent cx="1604513" cy="278669"/>
            <wp:effectExtent l="0" t="0" r="0" b="7620"/>
            <wp:docPr id="1484689712"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28835" cy="282893"/>
                    </a:xfrm>
                    <a:prstGeom prst="rect">
                      <a:avLst/>
                    </a:prstGeom>
                    <a:noFill/>
                    <a:ln>
                      <a:noFill/>
                    </a:ln>
                  </pic:spPr>
                </pic:pic>
              </a:graphicData>
            </a:graphic>
          </wp:inline>
        </w:drawing>
      </w:r>
    </w:p>
    <w:p w14:paraId="2B7AF1B2" w14:textId="58B19806" w:rsidR="00354DDA" w:rsidRDefault="00354DDA" w:rsidP="004A4E82">
      <w:pPr>
        <w:pStyle w:val="Default"/>
        <w:ind w:firstLine="567"/>
        <w:jc w:val="both"/>
      </w:pPr>
      <w:r>
        <w:t xml:space="preserve">În cazul în care entitatea de referinţă privind titlurile de capital k a fost stabilită în conformitate cu </w:t>
      </w:r>
      <w:r w:rsidR="00D46886" w:rsidRPr="00D46886">
        <w:t xml:space="preserve">punctul </w:t>
      </w:r>
      <w:r w:rsidR="00D46886">
        <w:t>73 subpunctul 2),</w:t>
      </w:r>
      <w:r>
        <w:t xml:space="preserve"> </w:t>
      </w:r>
    </w:p>
    <w:p w14:paraId="0D300966" w14:textId="17A1C91B" w:rsidR="00354DDA" w:rsidRDefault="008166FF" w:rsidP="004A4E82">
      <w:pPr>
        <w:pStyle w:val="Default"/>
        <w:ind w:firstLine="567"/>
        <w:jc w:val="center"/>
      </w:pPr>
      <w:r>
        <w:rPr>
          <w:noProof/>
          <w:lang w:val="en-US"/>
        </w:rPr>
        <w:drawing>
          <wp:inline distT="0" distB="0" distL="0" distR="0" wp14:anchorId="672F4C60" wp14:editId="1C91FBB5">
            <wp:extent cx="1500996" cy="261876"/>
            <wp:effectExtent l="0" t="0" r="4445" b="5080"/>
            <wp:docPr id="321702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1593" cy="267214"/>
                    </a:xfrm>
                    <a:prstGeom prst="rect">
                      <a:avLst/>
                    </a:prstGeom>
                    <a:noFill/>
                  </pic:spPr>
                </pic:pic>
              </a:graphicData>
            </a:graphic>
          </wp:inline>
        </w:drawing>
      </w:r>
      <w:r w:rsidR="00354DDA">
        <w:t xml:space="preserve">; și </w:t>
      </w:r>
    </w:p>
    <w:p w14:paraId="06E556AA" w14:textId="64587850" w:rsidR="00354DDA" w:rsidRDefault="00354DDA" w:rsidP="004A4E82">
      <w:pPr>
        <w:pStyle w:val="Default"/>
        <w:ind w:firstLine="567"/>
        <w:jc w:val="both"/>
      </w:pPr>
      <w:r>
        <w:t xml:space="preserve">AddOn(Entitatek ) = majorarea pentru entitatea de referinţă privind titlurile de capital k determinată în conformitate cu </w:t>
      </w:r>
      <w:r w:rsidR="008166FF" w:rsidRPr="00D46886">
        <w:t xml:space="preserve">punctul </w:t>
      </w:r>
      <w:r w:rsidR="00D46886">
        <w:t>76</w:t>
      </w:r>
      <w:r>
        <w:t xml:space="preserve">. </w:t>
      </w:r>
    </w:p>
    <w:p w14:paraId="2D6D93B5" w14:textId="1DE97047" w:rsidR="008166FF" w:rsidRDefault="00B7029A" w:rsidP="004A4E82">
      <w:pPr>
        <w:pStyle w:val="Default"/>
        <w:ind w:firstLine="567"/>
        <w:jc w:val="both"/>
      </w:pPr>
      <w:r>
        <w:rPr>
          <w:b/>
          <w:bCs/>
        </w:rPr>
        <w:t>7</w:t>
      </w:r>
      <w:r w:rsidR="004B1CE6">
        <w:rPr>
          <w:b/>
          <w:bCs/>
        </w:rPr>
        <w:t>6</w:t>
      </w:r>
      <w:r w:rsidR="008166FF" w:rsidRPr="00CA27C5">
        <w:rPr>
          <w:b/>
          <w:bCs/>
        </w:rPr>
        <w:t>.</w:t>
      </w:r>
      <w:r w:rsidR="00354DDA">
        <w:t xml:space="preserve"> </w:t>
      </w:r>
      <w:r w:rsidR="008166FF">
        <w:t>Băncile</w:t>
      </w:r>
      <w:r w:rsidR="00354DDA">
        <w:t xml:space="preserve"> calculează majorarea pentru entitatea de referinţă privind titlurile de capital k după cum urmează</w:t>
      </w:r>
      <w:r w:rsidR="008166FF">
        <w:t>:</w:t>
      </w:r>
    </w:p>
    <w:p w14:paraId="273A6B9C" w14:textId="2B739E1E" w:rsidR="00354DDA" w:rsidRDefault="008166FF" w:rsidP="004A4E82">
      <w:pPr>
        <w:pStyle w:val="Default"/>
        <w:ind w:firstLine="567"/>
        <w:jc w:val="center"/>
      </w:pPr>
      <w:r>
        <w:rPr>
          <w:noProof/>
          <w:lang w:val="en-US"/>
        </w:rPr>
        <w:drawing>
          <wp:inline distT="0" distB="0" distL="0" distR="0" wp14:anchorId="79A7B92B" wp14:editId="3277AE2B">
            <wp:extent cx="3623094" cy="196654"/>
            <wp:effectExtent l="0" t="0" r="0" b="0"/>
            <wp:docPr id="251060654" name="Picture 48"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60654" name="Picture 48" descr="A close up of a sign  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091124" cy="222058"/>
                    </a:xfrm>
                    <a:prstGeom prst="rect">
                      <a:avLst/>
                    </a:prstGeom>
                    <a:noFill/>
                  </pic:spPr>
                </pic:pic>
              </a:graphicData>
            </a:graphic>
          </wp:inline>
        </w:drawing>
      </w:r>
    </w:p>
    <w:p w14:paraId="073F0DD3" w14:textId="77777777" w:rsidR="00354DDA" w:rsidRDefault="00354DDA" w:rsidP="004A4E82">
      <w:pPr>
        <w:pStyle w:val="Default"/>
        <w:ind w:firstLine="567"/>
        <w:jc w:val="both"/>
      </w:pPr>
      <w:r>
        <w:t xml:space="preserve"> </w:t>
      </w:r>
    </w:p>
    <w:p w14:paraId="19021C70" w14:textId="77777777" w:rsidR="00354DDA" w:rsidRDefault="00354DDA" w:rsidP="004A4E82">
      <w:pPr>
        <w:pStyle w:val="Default"/>
        <w:ind w:firstLine="567"/>
        <w:jc w:val="both"/>
      </w:pPr>
      <w:r>
        <w:lastRenderedPageBreak/>
        <w:t xml:space="preserve">unde: </w:t>
      </w:r>
    </w:p>
    <w:p w14:paraId="0109C4CA" w14:textId="77777777" w:rsidR="00354DDA" w:rsidRDefault="00354DDA" w:rsidP="004A4E82">
      <w:pPr>
        <w:pStyle w:val="Default"/>
        <w:ind w:firstLine="567"/>
        <w:jc w:val="both"/>
      </w:pPr>
      <w:r>
        <w:t xml:space="preserve">AddOn(Entitatek ) = majorarea pentru entitatea de referinţă privind titlurile de capital k; </w:t>
      </w:r>
    </w:p>
    <w:p w14:paraId="6ECF3386" w14:textId="594097E0" w:rsidR="00354DDA" w:rsidRDefault="008166FF" w:rsidP="004A4E82">
      <w:pPr>
        <w:pStyle w:val="Default"/>
        <w:ind w:firstLine="567"/>
        <w:jc w:val="both"/>
      </w:pPr>
      <w:r>
        <w:rPr>
          <w:noProof/>
          <w:lang w:val="en-US"/>
        </w:rPr>
        <w:drawing>
          <wp:inline distT="0" distB="0" distL="0" distR="0" wp14:anchorId="34035281" wp14:editId="7E80EB83">
            <wp:extent cx="952577" cy="224287"/>
            <wp:effectExtent l="0" t="0" r="0" b="4445"/>
            <wp:docPr id="2120662674" name="Picture 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88988" cy="232860"/>
                    </a:xfrm>
                    <a:prstGeom prst="rect">
                      <a:avLst/>
                    </a:prstGeom>
                    <a:noFill/>
                    <a:ln>
                      <a:noFill/>
                    </a:ln>
                  </pic:spPr>
                </pic:pic>
              </a:graphicData>
            </a:graphic>
          </wp:inline>
        </w:drawing>
      </w:r>
      <w:r w:rsidR="00354DDA">
        <w:t xml:space="preserve">= factorul impus de </w:t>
      </w:r>
      <w:r w:rsidR="00385EFD" w:rsidRPr="00385EFD">
        <w:t>Banca Națională a Moldovei</w:t>
      </w:r>
      <w:r w:rsidR="00354DDA">
        <w:t xml:space="preserve"> aplicabil entităţii de referinţă privind titlurile de capital k</w:t>
      </w:r>
      <w:r>
        <w:t>.</w:t>
      </w:r>
      <w:r w:rsidR="00354DDA">
        <w:t xml:space="preserve"> </w:t>
      </w:r>
      <w:r>
        <w:t>Î</w:t>
      </w:r>
      <w:r w:rsidR="00354DDA">
        <w:t xml:space="preserve">n cazul în care entitatea de referinţă privind titlurile de capital k a fost stabilită în conformitate cu </w:t>
      </w:r>
      <w:r w:rsidR="004B4E1C" w:rsidRPr="00D46886">
        <w:t xml:space="preserve">punctul </w:t>
      </w:r>
      <w:r w:rsidR="004B4E1C">
        <w:t>73 subpunctul 1)</w:t>
      </w:r>
      <w:r w:rsidR="00354DDA">
        <w:t xml:space="preserve">, </w:t>
      </w:r>
    </w:p>
    <w:p w14:paraId="1DF89A16" w14:textId="60F67783" w:rsidR="00354DDA" w:rsidRDefault="008166FF" w:rsidP="004A4E82">
      <w:pPr>
        <w:pStyle w:val="Default"/>
        <w:ind w:firstLine="567"/>
        <w:jc w:val="center"/>
      </w:pPr>
      <w:r>
        <w:rPr>
          <w:noProof/>
          <w:lang w:val="en-US"/>
        </w:rPr>
        <w:drawing>
          <wp:inline distT="0" distB="0" distL="0" distR="0" wp14:anchorId="41A4BEA3" wp14:editId="68323E37">
            <wp:extent cx="1478696" cy="241540"/>
            <wp:effectExtent l="0" t="0" r="7620" b="6350"/>
            <wp:docPr id="102121596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89469" cy="243300"/>
                    </a:xfrm>
                    <a:prstGeom prst="rect">
                      <a:avLst/>
                    </a:prstGeom>
                    <a:noFill/>
                  </pic:spPr>
                </pic:pic>
              </a:graphicData>
            </a:graphic>
          </wp:inline>
        </w:drawing>
      </w:r>
    </w:p>
    <w:p w14:paraId="653C0D7D" w14:textId="6AAEAE3C" w:rsidR="00354DDA" w:rsidRDefault="00354DDA" w:rsidP="004A4E82">
      <w:pPr>
        <w:pStyle w:val="Default"/>
        <w:ind w:firstLine="567"/>
        <w:jc w:val="both"/>
      </w:pPr>
      <w:r>
        <w:t xml:space="preserve">în cazul în care entitatea de referinţă privind titlurile de capital k a fost stabilită în conformitate cu </w:t>
      </w:r>
      <w:r w:rsidR="004B4E1C" w:rsidRPr="00D46886">
        <w:t xml:space="preserve">punctul </w:t>
      </w:r>
      <w:r w:rsidR="004B4E1C">
        <w:t>73 subpunctul 2)</w:t>
      </w:r>
      <w:r>
        <w:t xml:space="preserve">, </w:t>
      </w:r>
    </w:p>
    <w:p w14:paraId="4BDE69E6" w14:textId="66FE0307" w:rsidR="00354DDA" w:rsidRDefault="0062295C" w:rsidP="004A4E82">
      <w:pPr>
        <w:pStyle w:val="Default"/>
        <w:ind w:firstLine="567"/>
        <w:jc w:val="center"/>
      </w:pPr>
      <w:r>
        <w:rPr>
          <w:noProof/>
          <w:lang w:val="en-US"/>
        </w:rPr>
        <w:drawing>
          <wp:inline distT="0" distB="0" distL="0" distR="0" wp14:anchorId="204C322B" wp14:editId="262D5D7C">
            <wp:extent cx="1725283" cy="281819"/>
            <wp:effectExtent l="0" t="0" r="0" b="4445"/>
            <wp:docPr id="107120430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43547" cy="284802"/>
                    </a:xfrm>
                    <a:prstGeom prst="rect">
                      <a:avLst/>
                    </a:prstGeom>
                    <a:noFill/>
                  </pic:spPr>
                </pic:pic>
              </a:graphicData>
            </a:graphic>
          </wp:inline>
        </w:drawing>
      </w:r>
    </w:p>
    <w:p w14:paraId="2E916F34" w14:textId="77777777" w:rsidR="00354DDA" w:rsidRDefault="00354DDA" w:rsidP="004A4E82">
      <w:pPr>
        <w:pStyle w:val="Default"/>
        <w:ind w:firstLine="567"/>
        <w:jc w:val="both"/>
      </w:pPr>
      <w:r>
        <w:t xml:space="preserve">; și </w:t>
      </w:r>
    </w:p>
    <w:p w14:paraId="1C63DEC8" w14:textId="24C50774" w:rsidR="00354DDA" w:rsidRDefault="0062295C" w:rsidP="004A4E82">
      <w:pPr>
        <w:pStyle w:val="Default"/>
        <w:ind w:firstLine="567"/>
        <w:jc w:val="both"/>
      </w:pPr>
      <w:r>
        <w:rPr>
          <w:noProof/>
          <w:lang w:val="en-US"/>
        </w:rPr>
        <w:drawing>
          <wp:inline distT="0" distB="0" distL="0" distR="0" wp14:anchorId="3DD958F8" wp14:editId="5636EBD0">
            <wp:extent cx="1357917" cy="258792"/>
            <wp:effectExtent l="0" t="0" r="0" b="8255"/>
            <wp:docPr id="1148833769" name="Picture 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9843" cy="262971"/>
                    </a:xfrm>
                    <a:prstGeom prst="rect">
                      <a:avLst/>
                    </a:prstGeom>
                    <a:noFill/>
                    <a:ln>
                      <a:noFill/>
                    </a:ln>
                  </pic:spPr>
                </pic:pic>
              </a:graphicData>
            </a:graphic>
          </wp:inline>
        </w:drawing>
      </w:r>
      <w:r>
        <w:t>=</w:t>
      </w:r>
      <w:r w:rsidR="00354DDA">
        <w:t xml:space="preserve"> valoarea noţională efectivă a entităţii de referinţă privind titlurile de capital k, calculată după cum urmează: </w:t>
      </w:r>
    </w:p>
    <w:p w14:paraId="3E665DAC" w14:textId="7706BB22" w:rsidR="00354DDA" w:rsidRDefault="0062295C" w:rsidP="004A4E82">
      <w:pPr>
        <w:pStyle w:val="Default"/>
        <w:ind w:firstLine="567"/>
        <w:jc w:val="center"/>
      </w:pPr>
      <w:r>
        <w:rPr>
          <w:noProof/>
          <w:lang w:val="en-US"/>
        </w:rPr>
        <w:drawing>
          <wp:inline distT="0" distB="0" distL="0" distR="0" wp14:anchorId="4B35B8F6" wp14:editId="71BED486">
            <wp:extent cx="4822706" cy="409651"/>
            <wp:effectExtent l="0" t="0" r="0" b="0"/>
            <wp:docPr id="103812533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82562" cy="423230"/>
                    </a:xfrm>
                    <a:prstGeom prst="rect">
                      <a:avLst/>
                    </a:prstGeom>
                    <a:noFill/>
                  </pic:spPr>
                </pic:pic>
              </a:graphicData>
            </a:graphic>
          </wp:inline>
        </w:drawing>
      </w:r>
    </w:p>
    <w:p w14:paraId="7824601B" w14:textId="77777777" w:rsidR="00354DDA" w:rsidRDefault="00354DDA" w:rsidP="004A4E82">
      <w:pPr>
        <w:pStyle w:val="Default"/>
        <w:ind w:firstLine="567"/>
        <w:jc w:val="both"/>
      </w:pPr>
      <w:r>
        <w:t xml:space="preserve">unde: </w:t>
      </w:r>
    </w:p>
    <w:p w14:paraId="2687D6BC" w14:textId="77777777" w:rsidR="00354DDA" w:rsidRDefault="00354DDA" w:rsidP="004A4E82">
      <w:pPr>
        <w:pStyle w:val="Default"/>
        <w:ind w:firstLine="567"/>
        <w:jc w:val="both"/>
      </w:pPr>
      <w:r>
        <w:t xml:space="preserve">l = indicele care desemnează poziţia de risc (RiskPosition). </w:t>
      </w:r>
    </w:p>
    <w:p w14:paraId="2C3A37CD" w14:textId="466A2BE0" w:rsidR="0062295C" w:rsidRDefault="0062295C"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16</w:t>
      </w:r>
      <w:r w:rsidR="0099409E">
        <w:rPr>
          <w:i/>
          <w:iCs/>
          <w:color w:val="000000"/>
        </w:rPr>
        <w:t>-a</w:t>
      </w:r>
    </w:p>
    <w:p w14:paraId="3EED7927" w14:textId="77777777" w:rsidR="00354DDA" w:rsidRPr="00CA27C5" w:rsidRDefault="00354DDA" w:rsidP="004A4E82">
      <w:pPr>
        <w:pStyle w:val="Default"/>
        <w:ind w:firstLine="567"/>
        <w:jc w:val="center"/>
        <w:rPr>
          <w:b/>
          <w:bCs/>
        </w:rPr>
      </w:pPr>
      <w:r w:rsidRPr="00CA27C5">
        <w:rPr>
          <w:b/>
          <w:bCs/>
        </w:rPr>
        <w:t>Majorarea aferentă categoriei de risc de marfă</w:t>
      </w:r>
    </w:p>
    <w:p w14:paraId="374D9FF7" w14:textId="6570F7C8" w:rsidR="00354DDA" w:rsidRDefault="00B7029A" w:rsidP="004A4E82">
      <w:pPr>
        <w:pStyle w:val="Default"/>
        <w:ind w:firstLine="567"/>
        <w:jc w:val="both"/>
      </w:pPr>
      <w:r>
        <w:rPr>
          <w:b/>
          <w:bCs/>
        </w:rPr>
        <w:t>7</w:t>
      </w:r>
      <w:r w:rsidR="004B1CE6">
        <w:rPr>
          <w:b/>
          <w:bCs/>
        </w:rPr>
        <w:t>7</w:t>
      </w:r>
      <w:r w:rsidR="0062295C" w:rsidRPr="00CA27C5">
        <w:rPr>
          <w:b/>
          <w:bCs/>
        </w:rPr>
        <w:t>.</w:t>
      </w:r>
      <w:r w:rsidR="00354DDA">
        <w:t xml:space="preserve"> În sensul </w:t>
      </w:r>
      <w:r w:rsidR="004B4E1C">
        <w:t>punctelor 51-53</w:t>
      </w:r>
      <w:r w:rsidR="00354DDA">
        <w:t xml:space="preserve">, </w:t>
      </w:r>
      <w:r w:rsidR="0062295C">
        <w:t>băncile</w:t>
      </w:r>
      <w:r w:rsidR="00354DDA">
        <w:t xml:space="preserve"> calculează majorarea aferentă categoriei de risc de marfă pentru un anumit set de compensare după cum urmează: </w:t>
      </w:r>
    </w:p>
    <w:p w14:paraId="3CBC45B9" w14:textId="77832F97" w:rsidR="00354DDA" w:rsidRDefault="0062295C" w:rsidP="004A4E82">
      <w:pPr>
        <w:pStyle w:val="Default"/>
        <w:ind w:firstLine="567"/>
        <w:jc w:val="center"/>
      </w:pPr>
      <w:r w:rsidRPr="00617864">
        <w:rPr>
          <w:noProof/>
          <w:lang w:val="en-US"/>
        </w:rPr>
        <w:drawing>
          <wp:inline distT="0" distB="0" distL="0" distR="0" wp14:anchorId="7EC59D80" wp14:editId="7E383C32">
            <wp:extent cx="1958196" cy="414930"/>
            <wp:effectExtent l="0" t="0" r="4445" b="4445"/>
            <wp:docPr id="180301040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79693" cy="419485"/>
                    </a:xfrm>
                    <a:prstGeom prst="rect">
                      <a:avLst/>
                    </a:prstGeom>
                    <a:noFill/>
                    <a:ln>
                      <a:noFill/>
                    </a:ln>
                  </pic:spPr>
                </pic:pic>
              </a:graphicData>
            </a:graphic>
          </wp:inline>
        </w:drawing>
      </w:r>
    </w:p>
    <w:p w14:paraId="1DCB9B95" w14:textId="77777777" w:rsidR="00354DDA" w:rsidRDefault="00354DDA" w:rsidP="004A4E82">
      <w:pPr>
        <w:pStyle w:val="Default"/>
        <w:ind w:firstLine="567"/>
        <w:jc w:val="both"/>
      </w:pPr>
      <w:r>
        <w:t xml:space="preserve">unde: </w:t>
      </w:r>
    </w:p>
    <w:p w14:paraId="271C60A6" w14:textId="11D86B59" w:rsidR="00354DDA" w:rsidRDefault="009A3074" w:rsidP="004A4E82">
      <w:pPr>
        <w:pStyle w:val="Default"/>
        <w:ind w:firstLine="567"/>
        <w:jc w:val="both"/>
      </w:pPr>
      <w:r w:rsidRPr="006C31DC">
        <w:t>AddOn</w:t>
      </w:r>
      <w:r w:rsidRPr="00617864">
        <w:rPr>
          <w:vertAlign w:val="superscript"/>
        </w:rPr>
        <w:t>Marfă</w:t>
      </w:r>
      <w:r w:rsidR="00354DDA">
        <w:t xml:space="preserve"> = majorarea aferentă categoriei de risc de marfă; </w:t>
      </w:r>
    </w:p>
    <w:p w14:paraId="06B478A8" w14:textId="0BC818FD" w:rsidR="00354DDA" w:rsidRDefault="00354DDA" w:rsidP="004A4E82">
      <w:pPr>
        <w:pStyle w:val="Default"/>
        <w:ind w:firstLine="567"/>
        <w:jc w:val="both"/>
      </w:pPr>
      <w:r>
        <w:t xml:space="preserve">j = indicele care desemnează seturile de acoperire a riscului de marfă stabilite în conformitate cu </w:t>
      </w:r>
      <w:r w:rsidR="00E52194">
        <w:t xml:space="preserve">punctul 48 </w:t>
      </w:r>
      <w:r w:rsidR="00E52194" w:rsidRPr="006C28BF">
        <w:t xml:space="preserve">subpunctul 5) </w:t>
      </w:r>
      <w:r w:rsidR="006C28BF" w:rsidRPr="00CA27C5">
        <w:t>ș</w:t>
      </w:r>
      <w:r w:rsidR="00E52194" w:rsidRPr="006C28BF">
        <w:t>i punctul 49</w:t>
      </w:r>
      <w:r w:rsidR="006C28BF" w:rsidRPr="00CA27C5">
        <w:t xml:space="preserve"> </w:t>
      </w:r>
      <w:r>
        <w:t xml:space="preserve">pentru setul de compensare; și </w:t>
      </w:r>
    </w:p>
    <w:p w14:paraId="548568EC" w14:textId="666A7F16" w:rsidR="00354DDA" w:rsidRPr="006C28BF" w:rsidRDefault="009A3074" w:rsidP="004A4E82">
      <w:pPr>
        <w:pStyle w:val="Default"/>
        <w:ind w:firstLine="567"/>
        <w:jc w:val="both"/>
      </w:pPr>
      <w:r>
        <w:rPr>
          <w:noProof/>
          <w:lang w:val="en-US"/>
        </w:rPr>
        <w:drawing>
          <wp:inline distT="0" distB="0" distL="0" distR="0" wp14:anchorId="07B3743E" wp14:editId="0A7F1916">
            <wp:extent cx="802256" cy="254520"/>
            <wp:effectExtent l="0" t="0" r="0" b="0"/>
            <wp:docPr id="857730981" name="Picture 5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1674" cy="260681"/>
                    </a:xfrm>
                    <a:prstGeom prst="rect">
                      <a:avLst/>
                    </a:prstGeom>
                    <a:noFill/>
                    <a:ln>
                      <a:noFill/>
                    </a:ln>
                  </pic:spPr>
                </pic:pic>
              </a:graphicData>
            </a:graphic>
          </wp:inline>
        </w:drawing>
      </w:r>
      <w:r w:rsidR="00354DDA">
        <w:t xml:space="preserve">= majorarea aferentă categoriei de risc de marfă pentru setul de acoperire a riscului j calculat în conformitate </w:t>
      </w:r>
      <w:r w:rsidR="00354DDA" w:rsidRPr="006C28BF">
        <w:t xml:space="preserve">cu </w:t>
      </w:r>
      <w:r w:rsidR="00DA3593" w:rsidRPr="006C28BF">
        <w:t xml:space="preserve">punctul </w:t>
      </w:r>
      <w:r w:rsidR="006C28BF" w:rsidRPr="00CA27C5">
        <w:t>80</w:t>
      </w:r>
      <w:r w:rsidR="00354DDA" w:rsidRPr="006C28BF">
        <w:t xml:space="preserve">. </w:t>
      </w:r>
    </w:p>
    <w:p w14:paraId="1D16FFCD" w14:textId="614BDA1A" w:rsidR="00354DDA" w:rsidRPr="006C28BF" w:rsidRDefault="00B7029A" w:rsidP="004A4E82">
      <w:pPr>
        <w:pStyle w:val="Default"/>
        <w:ind w:firstLine="567"/>
        <w:jc w:val="both"/>
      </w:pPr>
      <w:r w:rsidRPr="006C28BF">
        <w:rPr>
          <w:b/>
          <w:bCs/>
        </w:rPr>
        <w:t>7</w:t>
      </w:r>
      <w:r w:rsidR="004B1CE6" w:rsidRPr="006C28BF">
        <w:rPr>
          <w:b/>
          <w:bCs/>
        </w:rPr>
        <w:t>8</w:t>
      </w:r>
      <w:r w:rsidR="00095538" w:rsidRPr="00CA27C5">
        <w:rPr>
          <w:b/>
          <w:bCs/>
        </w:rPr>
        <w:t>.</w:t>
      </w:r>
      <w:r w:rsidR="00354DDA" w:rsidRPr="006C28BF">
        <w:t xml:space="preserve"> Pentru a calcula majorarea aferentă unui set de acoperire a riscului de marfă pentru un anumit set de compensare în conformitate cu </w:t>
      </w:r>
      <w:r w:rsidR="00095538" w:rsidRPr="006C28BF">
        <w:t xml:space="preserve">punctul </w:t>
      </w:r>
      <w:r w:rsidR="006C28BF" w:rsidRPr="006C28BF">
        <w:t>80</w:t>
      </w:r>
      <w:r w:rsidR="00354DDA" w:rsidRPr="006C28BF">
        <w:t xml:space="preserve">, </w:t>
      </w:r>
      <w:r w:rsidR="00095538" w:rsidRPr="006C28BF">
        <w:t>băncile</w:t>
      </w:r>
      <w:r w:rsidR="00354DDA" w:rsidRPr="006C28BF">
        <w:t xml:space="preserve"> stabilesc tipurile de marfă de referinţă relevante pentru fiecare set de acoperire a riscului. Tranzacţiile cu instrumente financiare derivate pe mărfuri sunt atribuite aceluiași tip de marfă de referinţă numai în cazul în care instrumentul pe mărfuri care este suport al tranzacţiilor respective este de aceeași natură, indiferent de locul de livrare și de calitatea instrumentului pe mărfuri. </w:t>
      </w:r>
    </w:p>
    <w:p w14:paraId="16601BB0" w14:textId="36DA24E9" w:rsidR="00354DDA" w:rsidRDefault="00B7029A" w:rsidP="004A4E82">
      <w:pPr>
        <w:pStyle w:val="Default"/>
        <w:ind w:firstLine="567"/>
        <w:jc w:val="both"/>
      </w:pPr>
      <w:r w:rsidRPr="006C28BF">
        <w:rPr>
          <w:b/>
          <w:bCs/>
        </w:rPr>
        <w:t>7</w:t>
      </w:r>
      <w:r w:rsidR="004B1CE6" w:rsidRPr="006C28BF">
        <w:rPr>
          <w:b/>
          <w:bCs/>
        </w:rPr>
        <w:t>9</w:t>
      </w:r>
      <w:r w:rsidR="00095538" w:rsidRPr="00CA27C5">
        <w:rPr>
          <w:b/>
          <w:bCs/>
        </w:rPr>
        <w:t>.</w:t>
      </w:r>
      <w:r w:rsidR="00354DDA" w:rsidRPr="006C28BF">
        <w:t xml:space="preserve"> Prin derogare de la </w:t>
      </w:r>
      <w:r w:rsidR="00095538" w:rsidRPr="006C28BF">
        <w:t xml:space="preserve">punctul </w:t>
      </w:r>
      <w:r w:rsidR="006C28BF" w:rsidRPr="006C28BF">
        <w:t>78</w:t>
      </w:r>
      <w:r w:rsidR="00354DDA" w:rsidRPr="006C28BF">
        <w:t xml:space="preserve">, </w:t>
      </w:r>
      <w:r w:rsidR="00EB3C5A" w:rsidRPr="00EB3C5A">
        <w:t>Banca Națională a Moldovei</w:t>
      </w:r>
      <w:r w:rsidR="00354DDA" w:rsidRPr="006C28BF">
        <w:t xml:space="preserve"> po</w:t>
      </w:r>
      <w:r w:rsidR="00EB3C5A">
        <w:t>a</w:t>
      </w:r>
      <w:r w:rsidR="00354DDA" w:rsidRPr="006C28BF">
        <w:t>t</w:t>
      </w:r>
      <w:r w:rsidR="00EB3C5A">
        <w:t>e</w:t>
      </w:r>
      <w:r w:rsidR="00354DDA" w:rsidRPr="006C28BF">
        <w:t xml:space="preserve"> impune unei </w:t>
      </w:r>
      <w:r w:rsidR="00095538" w:rsidRPr="006C28BF">
        <w:t>băn</w:t>
      </w:r>
      <w:r w:rsidR="002A4E97">
        <w:t>c</w:t>
      </w:r>
      <w:r w:rsidR="00095538" w:rsidRPr="006C28BF">
        <w:t>i</w:t>
      </w:r>
      <w:r w:rsidR="00354DDA" w:rsidRPr="006C28BF">
        <w:t xml:space="preserve"> care este expusă într-o măsură semnificativă riscului de bază al unor diferite poziţii care au aceeași natură ca cele menţionate la </w:t>
      </w:r>
      <w:r w:rsidR="00095538" w:rsidRPr="006C28BF">
        <w:t xml:space="preserve">punctul </w:t>
      </w:r>
      <w:r w:rsidR="006C28BF" w:rsidRPr="006C28BF">
        <w:t>78</w:t>
      </w:r>
      <w:r w:rsidR="00354DDA" w:rsidRPr="006C28BF">
        <w:t xml:space="preserve"> să stabilească tipurile de marfă de referinţă pentru poziţiile respective utilizând mai multe caracteristici</w:t>
      </w:r>
      <w:r w:rsidR="00354DDA">
        <w:t xml:space="preserve"> pe lângă simpla natură a instrumentului pe mărfuri care este suport al tranzacţiilor. Într-o astfel de situaţie, tranzacţiile cu instrumente financiare derivate pe mărfuri sunt atribuite aceluiași tip de marfă de referinţă numai în cazul în care împărtășesc caracteristicile respective. </w:t>
      </w:r>
    </w:p>
    <w:p w14:paraId="0012FBF8" w14:textId="477F5D79" w:rsidR="00354DDA" w:rsidRDefault="004B1CE6" w:rsidP="004A4E82">
      <w:pPr>
        <w:pStyle w:val="Default"/>
        <w:ind w:firstLine="567"/>
        <w:jc w:val="both"/>
      </w:pPr>
      <w:r>
        <w:rPr>
          <w:b/>
          <w:bCs/>
        </w:rPr>
        <w:t>80</w:t>
      </w:r>
      <w:r w:rsidR="002B52CA" w:rsidRPr="00CA27C5">
        <w:rPr>
          <w:b/>
          <w:bCs/>
        </w:rPr>
        <w:t>.</w:t>
      </w:r>
      <w:r w:rsidR="00354DDA">
        <w:t xml:space="preserve"> </w:t>
      </w:r>
      <w:r w:rsidR="005C299A">
        <w:t>Băncile</w:t>
      </w:r>
      <w:r w:rsidR="00354DDA">
        <w:t xml:space="preserve"> calculează majorarea aferentă categoriei de risc de marfă pentru setul de acoperire a riscului j după cum urmează: </w:t>
      </w:r>
    </w:p>
    <w:p w14:paraId="73590214" w14:textId="3F12AC15" w:rsidR="00354DDA" w:rsidRDefault="005C299A" w:rsidP="004A4E82">
      <w:pPr>
        <w:pStyle w:val="Default"/>
        <w:ind w:firstLine="567"/>
        <w:jc w:val="center"/>
      </w:pPr>
      <w:r>
        <w:rPr>
          <w:noProof/>
          <w:lang w:val="en-US"/>
        </w:rPr>
        <w:lastRenderedPageBreak/>
        <w:drawing>
          <wp:inline distT="0" distB="0" distL="0" distR="0" wp14:anchorId="61C3DA72" wp14:editId="648F08DF">
            <wp:extent cx="5319530" cy="655608"/>
            <wp:effectExtent l="0" t="0" r="0" b="0"/>
            <wp:docPr id="1732357739" name="Picture 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39710" cy="658095"/>
                    </a:xfrm>
                    <a:prstGeom prst="rect">
                      <a:avLst/>
                    </a:prstGeom>
                    <a:noFill/>
                    <a:ln>
                      <a:noFill/>
                    </a:ln>
                  </pic:spPr>
                </pic:pic>
              </a:graphicData>
            </a:graphic>
          </wp:inline>
        </w:drawing>
      </w:r>
    </w:p>
    <w:p w14:paraId="38B1A0D2" w14:textId="77777777" w:rsidR="00354DDA" w:rsidRDefault="00354DDA" w:rsidP="004A4E82">
      <w:pPr>
        <w:pStyle w:val="Default"/>
        <w:ind w:firstLine="567"/>
        <w:jc w:val="both"/>
      </w:pPr>
      <w:r>
        <w:t xml:space="preserve">unde: </w:t>
      </w:r>
    </w:p>
    <w:p w14:paraId="11735A9B" w14:textId="48DED949" w:rsidR="00354DDA" w:rsidRDefault="005C299A" w:rsidP="004A4E82">
      <w:pPr>
        <w:pStyle w:val="Default"/>
        <w:ind w:firstLine="567"/>
        <w:jc w:val="both"/>
      </w:pPr>
      <w:r>
        <w:rPr>
          <w:noProof/>
          <w:lang w:val="en-US"/>
        </w:rPr>
        <w:drawing>
          <wp:inline distT="0" distB="0" distL="0" distR="0" wp14:anchorId="0F29FA2D" wp14:editId="586F5A4D">
            <wp:extent cx="897297" cy="284672"/>
            <wp:effectExtent l="0" t="0" r="0" b="1270"/>
            <wp:docPr id="1906071241" name="Picture 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11068" cy="289041"/>
                    </a:xfrm>
                    <a:prstGeom prst="rect">
                      <a:avLst/>
                    </a:prstGeom>
                    <a:noFill/>
                    <a:ln>
                      <a:noFill/>
                    </a:ln>
                  </pic:spPr>
                </pic:pic>
              </a:graphicData>
            </a:graphic>
          </wp:inline>
        </w:drawing>
      </w:r>
      <w:r w:rsidR="00354DDA">
        <w:t xml:space="preserve">= majorarea aferentă categoriei de risc de marfă pentru setul de acoperire a riscului j; </w:t>
      </w:r>
    </w:p>
    <w:p w14:paraId="11679646" w14:textId="0C35582F" w:rsidR="00354DDA" w:rsidRDefault="00354DDA" w:rsidP="004A4E82">
      <w:pPr>
        <w:pStyle w:val="Default"/>
        <w:ind w:firstLine="567"/>
        <w:jc w:val="both"/>
      </w:pPr>
      <w:r>
        <w:t xml:space="preserve">єj = coeficientul factorului impus de </w:t>
      </w:r>
      <w:r w:rsidR="00EB3C5A" w:rsidRPr="00EB3C5A">
        <w:t>Banca Națională a Moldovei</w:t>
      </w:r>
      <w:r>
        <w:t xml:space="preserve"> aferent setului de acoperire a riscului pentru setul de acoperire a riscului j determinat în conformitate cu </w:t>
      </w:r>
      <w:r w:rsidR="006C28BF">
        <w:t>punctul 62</w:t>
      </w:r>
      <w:r>
        <w:t xml:space="preserve">; </w:t>
      </w:r>
    </w:p>
    <w:p w14:paraId="4DFCA41D" w14:textId="77777777" w:rsidR="00354DDA" w:rsidRDefault="00354DDA" w:rsidP="004A4E82">
      <w:pPr>
        <w:pStyle w:val="Default"/>
        <w:ind w:firstLine="567"/>
        <w:jc w:val="both"/>
      </w:pPr>
      <w:r>
        <w:t xml:space="preserve">ρMarfă = factorul de corelare pentru categoria de risc de marfă cu o valoare egală cu 40 %; </w:t>
      </w:r>
    </w:p>
    <w:p w14:paraId="7030DE93" w14:textId="109132E1" w:rsidR="00354DDA" w:rsidRDefault="00354DDA" w:rsidP="004A4E82">
      <w:pPr>
        <w:pStyle w:val="Default"/>
        <w:ind w:firstLine="567"/>
        <w:jc w:val="both"/>
      </w:pPr>
      <w:r>
        <w:t xml:space="preserve">k = indicele care desemnează tipurile de marfă de referinţă aferente setului de compensare stabilite în conformitate cu </w:t>
      </w:r>
      <w:r w:rsidR="005C299A" w:rsidRPr="006C28BF">
        <w:t xml:space="preserve">punctul </w:t>
      </w:r>
      <w:r w:rsidR="006C28BF">
        <w:t>78</w:t>
      </w:r>
      <w:r>
        <w:t xml:space="preserve">; și </w:t>
      </w:r>
    </w:p>
    <w:p w14:paraId="1DD798C7" w14:textId="45A3E823" w:rsidR="00354DDA" w:rsidRDefault="005C299A" w:rsidP="004A4E82">
      <w:pPr>
        <w:pStyle w:val="Default"/>
        <w:ind w:firstLine="567"/>
        <w:jc w:val="both"/>
      </w:pPr>
      <w:r>
        <w:rPr>
          <w:noProof/>
          <w:lang w:val="en-US"/>
        </w:rPr>
        <w:drawing>
          <wp:inline distT="0" distB="0" distL="0" distR="0" wp14:anchorId="4525E1BE" wp14:editId="6496248C">
            <wp:extent cx="1041685" cy="345057"/>
            <wp:effectExtent l="0" t="0" r="6350" b="0"/>
            <wp:docPr id="399025456" name="Picture 58"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5456" name="Picture 58" descr="A close up of a text  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57467" cy="350285"/>
                    </a:xfrm>
                    <a:prstGeom prst="rect">
                      <a:avLst/>
                    </a:prstGeom>
                    <a:noFill/>
                  </pic:spPr>
                </pic:pic>
              </a:graphicData>
            </a:graphic>
          </wp:inline>
        </w:drawing>
      </w:r>
      <w:r w:rsidR="00354DDA">
        <w:t xml:space="preserve">= majorarea aferentă tipului de marfă de referinţă k, calculată în conformitate cu </w:t>
      </w:r>
      <w:r>
        <w:t>punctul 69</w:t>
      </w:r>
      <w:r w:rsidR="00354DDA">
        <w:t>.</w:t>
      </w:r>
    </w:p>
    <w:p w14:paraId="730CC901" w14:textId="27CC6A95" w:rsidR="00354DDA" w:rsidRDefault="00B7029A" w:rsidP="004A4E82">
      <w:pPr>
        <w:pStyle w:val="Default"/>
        <w:ind w:firstLine="567"/>
        <w:jc w:val="both"/>
      </w:pPr>
      <w:r>
        <w:rPr>
          <w:b/>
          <w:bCs/>
        </w:rPr>
        <w:t>8</w:t>
      </w:r>
      <w:r w:rsidR="004B1CE6">
        <w:rPr>
          <w:b/>
          <w:bCs/>
        </w:rPr>
        <w:t>1</w:t>
      </w:r>
      <w:r w:rsidR="005C299A" w:rsidRPr="00CA27C5">
        <w:rPr>
          <w:b/>
          <w:bCs/>
        </w:rPr>
        <w:t>.</w:t>
      </w:r>
      <w:r w:rsidR="00354DDA">
        <w:t xml:space="preserve"> </w:t>
      </w:r>
      <w:r w:rsidR="005C299A">
        <w:t>Băncile</w:t>
      </w:r>
      <w:r w:rsidR="00354DDA">
        <w:t xml:space="preserve"> calculează majorarea pentru tipul de marfă de referinţă k după cum urmează: </w:t>
      </w:r>
    </w:p>
    <w:p w14:paraId="4C882CD7" w14:textId="77777777" w:rsidR="00354DDA" w:rsidRDefault="00354DDA" w:rsidP="004A4E82">
      <w:pPr>
        <w:pStyle w:val="Default"/>
        <w:ind w:firstLine="567"/>
        <w:jc w:val="both"/>
      </w:pPr>
      <w:r>
        <w:t xml:space="preserve">unde: </w:t>
      </w:r>
    </w:p>
    <w:p w14:paraId="1F2D0927" w14:textId="204893E6" w:rsidR="00354DDA" w:rsidRDefault="00E85526" w:rsidP="004A4E82">
      <w:pPr>
        <w:pStyle w:val="Default"/>
        <w:ind w:firstLine="567"/>
        <w:jc w:val="center"/>
      </w:pPr>
      <w:r>
        <w:rPr>
          <w:noProof/>
          <w:lang w:val="en-US"/>
        </w:rPr>
        <w:drawing>
          <wp:inline distT="0" distB="0" distL="0" distR="0" wp14:anchorId="2B4BD2EF" wp14:editId="16E7D45F">
            <wp:extent cx="3174521" cy="415532"/>
            <wp:effectExtent l="0" t="0" r="6985" b="3810"/>
            <wp:docPr id="2104705203" name="Picture 5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08277" cy="419951"/>
                    </a:xfrm>
                    <a:prstGeom prst="rect">
                      <a:avLst/>
                    </a:prstGeom>
                    <a:noFill/>
                    <a:ln>
                      <a:noFill/>
                    </a:ln>
                  </pic:spPr>
                </pic:pic>
              </a:graphicData>
            </a:graphic>
          </wp:inline>
        </w:drawing>
      </w:r>
    </w:p>
    <w:p w14:paraId="1DC4D6DD" w14:textId="5CCE656C" w:rsidR="00354DDA" w:rsidRDefault="00E85526" w:rsidP="004A4E82">
      <w:pPr>
        <w:pStyle w:val="Default"/>
        <w:ind w:firstLine="567"/>
        <w:jc w:val="both"/>
      </w:pPr>
      <w:r>
        <w:rPr>
          <w:noProof/>
          <w:lang w:val="en-US"/>
        </w:rPr>
        <w:drawing>
          <wp:inline distT="0" distB="0" distL="0" distR="0" wp14:anchorId="2E752C83" wp14:editId="60395ACE">
            <wp:extent cx="871268" cy="290543"/>
            <wp:effectExtent l="0" t="0" r="5080" b="0"/>
            <wp:docPr id="249735574" name="Picture 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77753" cy="292706"/>
                    </a:xfrm>
                    <a:prstGeom prst="rect">
                      <a:avLst/>
                    </a:prstGeom>
                    <a:noFill/>
                    <a:ln>
                      <a:noFill/>
                    </a:ln>
                  </pic:spPr>
                </pic:pic>
              </a:graphicData>
            </a:graphic>
          </wp:inline>
        </w:drawing>
      </w:r>
      <w:r w:rsidR="00354DDA">
        <w:t xml:space="preserve"> = majorarea pentru tipul de marfă de referinţă k; </w:t>
      </w:r>
    </w:p>
    <w:p w14:paraId="2373B0E2" w14:textId="7E2B5E99" w:rsidR="00354DDA" w:rsidRDefault="00E85526" w:rsidP="004A4E82">
      <w:pPr>
        <w:pStyle w:val="Default"/>
        <w:ind w:firstLine="567"/>
        <w:jc w:val="both"/>
      </w:pPr>
      <w:r>
        <w:rPr>
          <w:noProof/>
          <w:lang w:val="en-US"/>
        </w:rPr>
        <w:drawing>
          <wp:inline distT="0" distB="0" distL="0" distR="0" wp14:anchorId="23373578" wp14:editId="180AFCCF">
            <wp:extent cx="457200" cy="179363"/>
            <wp:effectExtent l="0" t="0" r="0" b="0"/>
            <wp:docPr id="1910939797" name="Picture 61" descr="A black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39797" name="Picture 61" descr="A black text on a white background  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8325" cy="187651"/>
                    </a:xfrm>
                    <a:prstGeom prst="rect">
                      <a:avLst/>
                    </a:prstGeom>
                    <a:noFill/>
                  </pic:spPr>
                </pic:pic>
              </a:graphicData>
            </a:graphic>
          </wp:inline>
        </w:drawing>
      </w:r>
      <w:r w:rsidR="00354DDA">
        <w:t xml:space="preserve"> = factorul impus de </w:t>
      </w:r>
      <w:r w:rsidR="00EB3C5A" w:rsidRPr="00EB3C5A">
        <w:t>Banca Națională a Moldovei</w:t>
      </w:r>
      <w:r w:rsidR="00354DDA">
        <w:t xml:space="preserve"> aplicabil tipului de marfă de referinţă k</w:t>
      </w:r>
      <w:r>
        <w:t>.</w:t>
      </w:r>
      <w:r w:rsidR="00354DDA">
        <w:t xml:space="preserve"> </w:t>
      </w:r>
      <w:r>
        <w:t>Î</w:t>
      </w:r>
      <w:r w:rsidR="00354DDA">
        <w:t xml:space="preserve">n cazul în care tipul de marfă de referinţă k corespunde unor tranzacţii atribuite setului de acoperire a riscului menţionat la </w:t>
      </w:r>
      <w:r w:rsidR="006C28BF">
        <w:t xml:space="preserve">punctul 48 </w:t>
      </w:r>
      <w:r w:rsidR="006C28BF" w:rsidRPr="006C28BF">
        <w:t>subpunctul 5)</w:t>
      </w:r>
      <w:r w:rsidR="00354DDA">
        <w:t xml:space="preserve">, cu excepţia tranzacţiilor privind energia electrică,  </w:t>
      </w:r>
      <w:r>
        <w:rPr>
          <w:noProof/>
          <w:lang w:val="en-US"/>
        </w:rPr>
        <w:drawing>
          <wp:inline distT="0" distB="0" distL="0" distR="0" wp14:anchorId="5A487258" wp14:editId="28577D40">
            <wp:extent cx="825094" cy="155276"/>
            <wp:effectExtent l="0" t="0" r="0" b="0"/>
            <wp:docPr id="155819391" name="Picture 62"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391" name="Picture 62" descr="A black and white text  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57227" cy="161323"/>
                    </a:xfrm>
                    <a:prstGeom prst="rect">
                      <a:avLst/>
                    </a:prstGeom>
                    <a:noFill/>
                  </pic:spPr>
                </pic:pic>
              </a:graphicData>
            </a:graphic>
          </wp:inline>
        </w:drawing>
      </w:r>
      <w:r>
        <w:t>.</w:t>
      </w:r>
      <w:r w:rsidR="00354DDA">
        <w:t xml:space="preserve"> </w:t>
      </w:r>
      <w:r>
        <w:t>P</w:t>
      </w:r>
      <w:r w:rsidR="00354DDA">
        <w:t xml:space="preserve">entru tranzacţiile privind energia electrică,  </w:t>
      </w:r>
      <w:r>
        <w:rPr>
          <w:noProof/>
          <w:lang w:val="en-US"/>
        </w:rPr>
        <w:drawing>
          <wp:inline distT="0" distB="0" distL="0" distR="0" wp14:anchorId="7C945DBF" wp14:editId="62DD7061">
            <wp:extent cx="854015" cy="160719"/>
            <wp:effectExtent l="0" t="0" r="3810" b="0"/>
            <wp:docPr id="790319568" name="Picture 63"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19568" name="Picture 63" descr="A black and white text  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5243" cy="166596"/>
                    </a:xfrm>
                    <a:prstGeom prst="rect">
                      <a:avLst/>
                    </a:prstGeom>
                    <a:noFill/>
                  </pic:spPr>
                </pic:pic>
              </a:graphicData>
            </a:graphic>
          </wp:inline>
        </w:drawing>
      </w:r>
      <w:r w:rsidR="00354DDA">
        <w:t xml:space="preserve">; și </w:t>
      </w:r>
    </w:p>
    <w:p w14:paraId="2855845A" w14:textId="43D6DC51" w:rsidR="00354DDA" w:rsidRDefault="00E85526" w:rsidP="004A4E82">
      <w:pPr>
        <w:pStyle w:val="Default"/>
        <w:ind w:firstLine="567"/>
        <w:jc w:val="both"/>
      </w:pPr>
      <w:r>
        <w:rPr>
          <w:noProof/>
          <w:lang w:val="en-US"/>
        </w:rPr>
        <w:drawing>
          <wp:inline distT="0" distB="0" distL="0" distR="0" wp14:anchorId="0D037773" wp14:editId="590A24A2">
            <wp:extent cx="763751" cy="232914"/>
            <wp:effectExtent l="0" t="0" r="0" b="0"/>
            <wp:docPr id="1466913292" name="Picture 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80185" cy="237926"/>
                    </a:xfrm>
                    <a:prstGeom prst="rect">
                      <a:avLst/>
                    </a:prstGeom>
                    <a:noFill/>
                    <a:ln>
                      <a:noFill/>
                    </a:ln>
                  </pic:spPr>
                </pic:pic>
              </a:graphicData>
            </a:graphic>
          </wp:inline>
        </w:drawing>
      </w:r>
      <w:r w:rsidR="00354DDA">
        <w:t xml:space="preserve">= valoarea noţională efectivă a tipului de marfă de referinţă k, calculată după cum urmează: </w:t>
      </w:r>
    </w:p>
    <w:p w14:paraId="73C337A6" w14:textId="5A494B45" w:rsidR="00354DDA" w:rsidRDefault="00E85526" w:rsidP="004A4E82">
      <w:pPr>
        <w:pStyle w:val="Default"/>
        <w:ind w:firstLine="567"/>
        <w:jc w:val="center"/>
      </w:pPr>
      <w:r>
        <w:rPr>
          <w:noProof/>
          <w:lang w:val="en-US"/>
        </w:rPr>
        <w:drawing>
          <wp:inline distT="0" distB="0" distL="0" distR="0" wp14:anchorId="05F2DE80" wp14:editId="514E7937">
            <wp:extent cx="3364302" cy="417328"/>
            <wp:effectExtent l="0" t="0" r="7620" b="1905"/>
            <wp:docPr id="922628175" name="Picture 65" descr="A black and whit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8175" name="Picture 65" descr="A black and white symbol  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13574" cy="423440"/>
                    </a:xfrm>
                    <a:prstGeom prst="rect">
                      <a:avLst/>
                    </a:prstGeom>
                    <a:noFill/>
                  </pic:spPr>
                </pic:pic>
              </a:graphicData>
            </a:graphic>
          </wp:inline>
        </w:drawing>
      </w:r>
    </w:p>
    <w:p w14:paraId="233ADC09" w14:textId="77777777" w:rsidR="00354DDA" w:rsidRDefault="00354DDA" w:rsidP="004A4E82">
      <w:pPr>
        <w:pStyle w:val="Default"/>
        <w:ind w:firstLine="567"/>
        <w:jc w:val="both"/>
      </w:pPr>
      <w:r>
        <w:t xml:space="preserve">unde: </w:t>
      </w:r>
    </w:p>
    <w:p w14:paraId="2417FB25" w14:textId="77777777" w:rsidR="00354DDA" w:rsidRDefault="00354DDA" w:rsidP="004A4E82">
      <w:pPr>
        <w:pStyle w:val="Default"/>
        <w:ind w:firstLine="567"/>
        <w:jc w:val="both"/>
      </w:pPr>
      <w:r>
        <w:t xml:space="preserve">l = indicele care desemnează poziţia de risc (RiskPosition). </w:t>
      </w:r>
    </w:p>
    <w:p w14:paraId="3A3DB9FA" w14:textId="4FE661C5" w:rsidR="00E85526" w:rsidRDefault="00E85526" w:rsidP="004A4E82">
      <w:pPr>
        <w:pStyle w:val="CM4"/>
        <w:spacing w:before="60" w:after="60"/>
        <w:ind w:firstLine="567"/>
        <w:jc w:val="center"/>
        <w:rPr>
          <w:i/>
          <w:iCs/>
          <w:color w:val="000000"/>
        </w:rPr>
      </w:pPr>
      <w:r w:rsidRPr="009819FD">
        <w:rPr>
          <w:i/>
          <w:iCs/>
          <w:color w:val="000000"/>
        </w:rPr>
        <w:t xml:space="preserve">Secțiunea </w:t>
      </w:r>
      <w:r w:rsidR="0099409E">
        <w:rPr>
          <w:i/>
          <w:iCs/>
          <w:color w:val="000000"/>
        </w:rPr>
        <w:t xml:space="preserve">a </w:t>
      </w:r>
      <w:r w:rsidR="00CA27C5">
        <w:rPr>
          <w:i/>
          <w:iCs/>
          <w:color w:val="000000"/>
        </w:rPr>
        <w:t>17</w:t>
      </w:r>
      <w:r w:rsidR="0099409E">
        <w:rPr>
          <w:i/>
          <w:iCs/>
          <w:color w:val="000000"/>
        </w:rPr>
        <w:t>-a</w:t>
      </w:r>
    </w:p>
    <w:p w14:paraId="799A1A56" w14:textId="77777777" w:rsidR="00354DDA" w:rsidRPr="00CA27C5" w:rsidRDefault="00354DDA" w:rsidP="004A4E82">
      <w:pPr>
        <w:pStyle w:val="Default"/>
        <w:ind w:firstLine="567"/>
        <w:jc w:val="center"/>
        <w:rPr>
          <w:b/>
          <w:bCs/>
        </w:rPr>
      </w:pPr>
      <w:r w:rsidRPr="00CA27C5">
        <w:rPr>
          <w:b/>
          <w:bCs/>
        </w:rPr>
        <w:t>Majorarea aferentă categoriei alte riscuri</w:t>
      </w:r>
    </w:p>
    <w:p w14:paraId="27F155D2" w14:textId="0C63A8BA" w:rsidR="00354DDA" w:rsidRDefault="00B7029A" w:rsidP="004A4E82">
      <w:pPr>
        <w:pStyle w:val="Default"/>
        <w:ind w:firstLine="567"/>
        <w:jc w:val="both"/>
      </w:pPr>
      <w:r>
        <w:rPr>
          <w:b/>
          <w:bCs/>
        </w:rPr>
        <w:t>8</w:t>
      </w:r>
      <w:r w:rsidR="004B1CE6">
        <w:rPr>
          <w:b/>
          <w:bCs/>
        </w:rPr>
        <w:t>2</w:t>
      </w:r>
      <w:r w:rsidR="0053098F" w:rsidRPr="00CA27C5">
        <w:rPr>
          <w:b/>
          <w:bCs/>
        </w:rPr>
        <w:t>.</w:t>
      </w:r>
      <w:r w:rsidR="00354DDA">
        <w:t xml:space="preserve"> În sensul </w:t>
      </w:r>
      <w:r w:rsidR="00833DEA">
        <w:t>punctelor 51-53</w:t>
      </w:r>
      <w:r w:rsidR="00354DDA">
        <w:t xml:space="preserve">, </w:t>
      </w:r>
      <w:r w:rsidR="005E1743">
        <w:t>băncile</w:t>
      </w:r>
      <w:r w:rsidR="00354DDA">
        <w:t xml:space="preserve"> calculează majorarea aferentă categoriei alte riscuri pentru un anumit set de compensare după cum urmează: </w:t>
      </w:r>
    </w:p>
    <w:p w14:paraId="70762770" w14:textId="3E53C13B" w:rsidR="00354DDA" w:rsidRDefault="005E1743" w:rsidP="004A4E82">
      <w:pPr>
        <w:pStyle w:val="Default"/>
        <w:ind w:firstLine="567"/>
        <w:jc w:val="center"/>
      </w:pPr>
      <w:r>
        <w:rPr>
          <w:noProof/>
          <w:lang w:val="en-US"/>
        </w:rPr>
        <w:drawing>
          <wp:inline distT="0" distB="0" distL="0" distR="0" wp14:anchorId="5E682345" wp14:editId="5C1E0713">
            <wp:extent cx="2424023" cy="483317"/>
            <wp:effectExtent l="0" t="0" r="0" b="0"/>
            <wp:docPr id="1582523686" name="Picture 66" descr="A black symbol with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3686" name="Picture 66" descr="A black symbol with a white background  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61740" cy="490837"/>
                    </a:xfrm>
                    <a:prstGeom prst="rect">
                      <a:avLst/>
                    </a:prstGeom>
                    <a:noFill/>
                  </pic:spPr>
                </pic:pic>
              </a:graphicData>
            </a:graphic>
          </wp:inline>
        </w:drawing>
      </w:r>
    </w:p>
    <w:p w14:paraId="7FD3DED5" w14:textId="77777777" w:rsidR="00354DDA" w:rsidRDefault="00354DDA" w:rsidP="004A4E82">
      <w:pPr>
        <w:pStyle w:val="Default"/>
        <w:ind w:firstLine="567"/>
        <w:jc w:val="both"/>
      </w:pPr>
      <w:r>
        <w:t xml:space="preserve">unde: </w:t>
      </w:r>
    </w:p>
    <w:p w14:paraId="7E1887FD" w14:textId="3CB0084D" w:rsidR="00354DDA" w:rsidRDefault="005E1743" w:rsidP="004A4E82">
      <w:pPr>
        <w:pStyle w:val="Default"/>
        <w:ind w:firstLine="567"/>
        <w:jc w:val="both"/>
      </w:pPr>
      <w:r w:rsidRPr="006C31DC">
        <w:t>AddOn</w:t>
      </w:r>
      <w:r w:rsidRPr="00385539">
        <w:rPr>
          <w:vertAlign w:val="superscript"/>
        </w:rPr>
        <w:t>Altele</w:t>
      </w:r>
      <w:r w:rsidR="00354DDA">
        <w:t xml:space="preserve"> = majorarea aferentă categoriei alte riscuri; </w:t>
      </w:r>
    </w:p>
    <w:p w14:paraId="0E25E36F" w14:textId="30B72C4C" w:rsidR="00354DDA" w:rsidRDefault="00354DDA" w:rsidP="004A4E82">
      <w:pPr>
        <w:pStyle w:val="Default"/>
        <w:ind w:firstLine="567"/>
        <w:jc w:val="both"/>
      </w:pPr>
      <w:r>
        <w:t xml:space="preserve">j = indicele care desemnează seturile de acoperire a altor riscuri stabilite în conformitate cu </w:t>
      </w:r>
      <w:r w:rsidR="00833DEA" w:rsidRPr="00833DEA">
        <w:t xml:space="preserve">punctul 48 subpunctul </w:t>
      </w:r>
      <w:r w:rsidR="00833DEA">
        <w:t>6</w:t>
      </w:r>
      <w:r w:rsidR="00833DEA" w:rsidRPr="00833DEA">
        <w:t xml:space="preserve">) și punctul 49 </w:t>
      </w:r>
      <w:r>
        <w:t xml:space="preserve">pentru setul de compensare; și </w:t>
      </w:r>
    </w:p>
    <w:p w14:paraId="5E92C9CD" w14:textId="1ACA4671" w:rsidR="00354DDA" w:rsidRDefault="0053098F" w:rsidP="004A4E82">
      <w:pPr>
        <w:pStyle w:val="Default"/>
        <w:ind w:firstLine="567"/>
        <w:jc w:val="both"/>
      </w:pPr>
      <w:r>
        <w:rPr>
          <w:noProof/>
          <w:lang w:val="en-US"/>
        </w:rPr>
        <w:drawing>
          <wp:inline distT="0" distB="0" distL="0" distR="0" wp14:anchorId="7CF92EDA" wp14:editId="7E875960">
            <wp:extent cx="715992" cy="231486"/>
            <wp:effectExtent l="0" t="0" r="8255" b="0"/>
            <wp:docPr id="43327031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30858" cy="236292"/>
                    </a:xfrm>
                    <a:prstGeom prst="rect">
                      <a:avLst/>
                    </a:prstGeom>
                    <a:noFill/>
                  </pic:spPr>
                </pic:pic>
              </a:graphicData>
            </a:graphic>
          </wp:inline>
        </w:drawing>
      </w:r>
      <w:r w:rsidR="00354DDA">
        <w:t xml:space="preserve">= majorarea aferentă categoriei alte riscuri pentru setul de acoperire a riscului j calculat în conformitate cu </w:t>
      </w:r>
      <w:r w:rsidRPr="00833DEA">
        <w:t xml:space="preserve">punctul </w:t>
      </w:r>
      <w:r w:rsidR="00833DEA" w:rsidRPr="00CA27C5">
        <w:t>83</w:t>
      </w:r>
      <w:r w:rsidR="00354DDA" w:rsidRPr="00833DEA">
        <w:t>.</w:t>
      </w:r>
      <w:r w:rsidR="00354DDA">
        <w:t xml:space="preserve"> </w:t>
      </w:r>
    </w:p>
    <w:p w14:paraId="4054AB51" w14:textId="34D357ED" w:rsidR="00354DDA" w:rsidRDefault="00B7029A" w:rsidP="004A4E82">
      <w:pPr>
        <w:pStyle w:val="Default"/>
        <w:ind w:firstLine="567"/>
        <w:jc w:val="both"/>
      </w:pPr>
      <w:r>
        <w:rPr>
          <w:b/>
          <w:bCs/>
        </w:rPr>
        <w:lastRenderedPageBreak/>
        <w:t>8</w:t>
      </w:r>
      <w:r w:rsidR="004B1CE6">
        <w:rPr>
          <w:b/>
          <w:bCs/>
        </w:rPr>
        <w:t>3</w:t>
      </w:r>
      <w:r w:rsidR="0053098F" w:rsidRPr="00CA27C5">
        <w:rPr>
          <w:b/>
          <w:bCs/>
        </w:rPr>
        <w:t>.</w:t>
      </w:r>
      <w:r w:rsidR="00354DDA">
        <w:t xml:space="preserve"> </w:t>
      </w:r>
      <w:r w:rsidR="0053098F">
        <w:t xml:space="preserve">Băncile </w:t>
      </w:r>
      <w:r w:rsidR="00354DDA">
        <w:t xml:space="preserve">calculează majorarea aferentă categoriei alte riscuri pentru setul de acoperire a riscului j după cum urmează: </w:t>
      </w:r>
    </w:p>
    <w:p w14:paraId="0B3D2735" w14:textId="2BC57F20" w:rsidR="00354DDA" w:rsidRDefault="0053098F" w:rsidP="004A4E82">
      <w:pPr>
        <w:pStyle w:val="Default"/>
        <w:ind w:firstLine="567"/>
        <w:jc w:val="center"/>
      </w:pPr>
      <w:r>
        <w:rPr>
          <w:noProof/>
          <w:lang w:val="en-US"/>
        </w:rPr>
        <w:drawing>
          <wp:inline distT="0" distB="0" distL="0" distR="0" wp14:anchorId="269949A1" wp14:editId="61AA74FC">
            <wp:extent cx="3243532" cy="331896"/>
            <wp:effectExtent l="0" t="0" r="0" b="0"/>
            <wp:docPr id="596757176" name="Picture 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05111" cy="338197"/>
                    </a:xfrm>
                    <a:prstGeom prst="rect">
                      <a:avLst/>
                    </a:prstGeom>
                    <a:noFill/>
                    <a:ln>
                      <a:noFill/>
                    </a:ln>
                  </pic:spPr>
                </pic:pic>
              </a:graphicData>
            </a:graphic>
          </wp:inline>
        </w:drawing>
      </w:r>
    </w:p>
    <w:p w14:paraId="4415DB7E" w14:textId="77777777" w:rsidR="00354DDA" w:rsidRDefault="00354DDA" w:rsidP="004A4E82">
      <w:pPr>
        <w:pStyle w:val="Default"/>
        <w:ind w:firstLine="567"/>
        <w:jc w:val="both"/>
      </w:pPr>
      <w:r>
        <w:t xml:space="preserve">unde: </w:t>
      </w:r>
    </w:p>
    <w:p w14:paraId="1592564E" w14:textId="50EF54B6" w:rsidR="00354DDA" w:rsidRDefault="0053098F" w:rsidP="004A4E82">
      <w:pPr>
        <w:pStyle w:val="Default"/>
        <w:ind w:firstLine="567"/>
        <w:jc w:val="both"/>
      </w:pPr>
      <w:r>
        <w:rPr>
          <w:noProof/>
          <w:lang w:val="en-US"/>
        </w:rPr>
        <w:drawing>
          <wp:inline distT="0" distB="0" distL="0" distR="0" wp14:anchorId="50824E28" wp14:editId="31FD4141">
            <wp:extent cx="729040" cy="232913"/>
            <wp:effectExtent l="0" t="0" r="0" b="0"/>
            <wp:docPr id="1448408612" name="Picture 6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43093" cy="237403"/>
                    </a:xfrm>
                    <a:prstGeom prst="rect">
                      <a:avLst/>
                    </a:prstGeom>
                    <a:noFill/>
                    <a:ln>
                      <a:noFill/>
                    </a:ln>
                  </pic:spPr>
                </pic:pic>
              </a:graphicData>
            </a:graphic>
          </wp:inline>
        </w:drawing>
      </w:r>
      <w:r w:rsidR="00354DDA">
        <w:t xml:space="preserve">= majorarea aferentă categoriei alte riscuri pentru setul de acoperire a riscului j; </w:t>
      </w:r>
    </w:p>
    <w:p w14:paraId="2A05A689" w14:textId="0500BEF1" w:rsidR="00354DDA" w:rsidRDefault="00354DDA" w:rsidP="004A4E82">
      <w:pPr>
        <w:pStyle w:val="Default"/>
        <w:ind w:firstLine="567"/>
        <w:jc w:val="both"/>
      </w:pPr>
      <w:r>
        <w:t xml:space="preserve">єj = coeficientul factorului impus de </w:t>
      </w:r>
      <w:r w:rsidR="00EB3C5A" w:rsidRPr="00EB3C5A">
        <w:t>Banca Națională a Moldovei</w:t>
      </w:r>
      <w:r>
        <w:t xml:space="preserve"> aferent setului de acoperire a riscului pentru setul de acoperire a riscului j determinat în conformitate cu </w:t>
      </w:r>
      <w:r w:rsidR="00833DEA">
        <w:t>punctul 62</w:t>
      </w:r>
      <w:r>
        <w:t xml:space="preserve">; și </w:t>
      </w:r>
    </w:p>
    <w:p w14:paraId="35D29216" w14:textId="2F386053" w:rsidR="00354DDA" w:rsidRDefault="00CD6740" w:rsidP="004A4E82">
      <w:pPr>
        <w:pStyle w:val="Default"/>
        <w:ind w:firstLine="567"/>
        <w:jc w:val="both"/>
      </w:pPr>
      <w:r w:rsidRPr="006C31DC">
        <w:t>SF</w:t>
      </w:r>
      <w:r w:rsidRPr="00385539">
        <w:rPr>
          <w:vertAlign w:val="superscript"/>
        </w:rPr>
        <w:t>Altele</w:t>
      </w:r>
      <w:r w:rsidR="00354DDA">
        <w:t xml:space="preserve"> = factorul impus de </w:t>
      </w:r>
      <w:r w:rsidR="00EB3C5A" w:rsidRPr="00EB3C5A">
        <w:t>Banca Națională a Moldovei</w:t>
      </w:r>
      <w:r w:rsidR="00354DDA">
        <w:t xml:space="preserve"> pentru categoria alte riscuri cu o valoare egală cu 8 %; </w:t>
      </w:r>
    </w:p>
    <w:p w14:paraId="6A3B384C" w14:textId="2DA539CA" w:rsidR="00354DDA" w:rsidRDefault="00CD6740" w:rsidP="004A4E82">
      <w:pPr>
        <w:pStyle w:val="Default"/>
        <w:ind w:firstLine="567"/>
        <w:jc w:val="both"/>
      </w:pPr>
      <w:r>
        <w:rPr>
          <w:noProof/>
          <w:lang w:val="en-US"/>
        </w:rPr>
        <w:drawing>
          <wp:inline distT="0" distB="0" distL="0" distR="0" wp14:anchorId="30CCB6AF" wp14:editId="38891C49">
            <wp:extent cx="836762" cy="278775"/>
            <wp:effectExtent l="0" t="0" r="1905" b="6985"/>
            <wp:docPr id="36189790" name="Picture 7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43709" cy="281089"/>
                    </a:xfrm>
                    <a:prstGeom prst="rect">
                      <a:avLst/>
                    </a:prstGeom>
                    <a:noFill/>
                    <a:ln>
                      <a:noFill/>
                    </a:ln>
                  </pic:spPr>
                </pic:pic>
              </a:graphicData>
            </a:graphic>
          </wp:inline>
        </w:drawing>
      </w:r>
      <w:r w:rsidR="00354DDA">
        <w:t xml:space="preserve">= valoarea noţională efectivă a setului de acoperire a riscului j, calculată după cum urmează: </w:t>
      </w:r>
    </w:p>
    <w:p w14:paraId="7CEBA16F" w14:textId="6F660C0E" w:rsidR="00354DDA" w:rsidRDefault="00CD6740" w:rsidP="004A4E82">
      <w:pPr>
        <w:pStyle w:val="Default"/>
        <w:ind w:firstLine="567"/>
        <w:jc w:val="center"/>
      </w:pPr>
      <w:r>
        <w:rPr>
          <w:noProof/>
          <w:lang w:val="en-US"/>
        </w:rPr>
        <w:drawing>
          <wp:inline distT="0" distB="0" distL="0" distR="0" wp14:anchorId="55A27BA7" wp14:editId="556E9A5F">
            <wp:extent cx="3530198" cy="431321"/>
            <wp:effectExtent l="0" t="0" r="0" b="6985"/>
            <wp:docPr id="183766834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90409" cy="438678"/>
                    </a:xfrm>
                    <a:prstGeom prst="rect">
                      <a:avLst/>
                    </a:prstGeom>
                    <a:noFill/>
                  </pic:spPr>
                </pic:pic>
              </a:graphicData>
            </a:graphic>
          </wp:inline>
        </w:drawing>
      </w:r>
    </w:p>
    <w:p w14:paraId="769D19C1" w14:textId="77777777" w:rsidR="00354DDA" w:rsidRDefault="00354DDA" w:rsidP="004A4E82">
      <w:pPr>
        <w:pStyle w:val="Default"/>
        <w:ind w:firstLine="567"/>
        <w:jc w:val="both"/>
      </w:pPr>
      <w:r>
        <w:t xml:space="preserve">unde: </w:t>
      </w:r>
    </w:p>
    <w:p w14:paraId="03F1F9D4" w14:textId="77777777" w:rsidR="00354DDA" w:rsidRDefault="00354DDA" w:rsidP="004A4E82">
      <w:pPr>
        <w:pStyle w:val="Default"/>
        <w:ind w:firstLine="567"/>
        <w:jc w:val="both"/>
      </w:pPr>
      <w:r>
        <w:t xml:space="preserve">l = indicele care desemnează poziţia de risc (RiskPosition). </w:t>
      </w:r>
    </w:p>
    <w:p w14:paraId="66C4AEC4" w14:textId="77777777" w:rsidR="004A0F64" w:rsidRDefault="004A0F64" w:rsidP="004A4E82">
      <w:pPr>
        <w:pStyle w:val="Default"/>
        <w:ind w:firstLine="567"/>
        <w:jc w:val="both"/>
      </w:pPr>
    </w:p>
    <w:p w14:paraId="0DE3E389" w14:textId="5ACA0289" w:rsidR="004A0F64" w:rsidRDefault="004A0F64" w:rsidP="004A4E82">
      <w:pPr>
        <w:spacing w:after="0" w:line="240" w:lineRule="auto"/>
        <w:ind w:firstLine="567"/>
        <w:jc w:val="center"/>
        <w:rPr>
          <w:rFonts w:ascii="Times New Roman" w:eastAsia="Times New Roman" w:hAnsi="Times New Roman" w:cs="Times New Roman"/>
          <w:b/>
          <w:bCs/>
          <w:sz w:val="24"/>
          <w:szCs w:val="24"/>
          <w:lang w:val="ro-MD"/>
        </w:rPr>
      </w:pPr>
      <w:r w:rsidRPr="00A718BE">
        <w:rPr>
          <w:rFonts w:ascii="Times New Roman" w:eastAsia="Times New Roman" w:hAnsi="Times New Roman" w:cs="Times New Roman"/>
          <w:b/>
          <w:bCs/>
          <w:sz w:val="24"/>
          <w:szCs w:val="24"/>
          <w:lang w:val="ro-MD"/>
        </w:rPr>
        <w:t>Capitolul I</w:t>
      </w:r>
      <w:r>
        <w:rPr>
          <w:rFonts w:ascii="Times New Roman" w:eastAsia="Times New Roman" w:hAnsi="Times New Roman" w:cs="Times New Roman"/>
          <w:b/>
          <w:bCs/>
          <w:sz w:val="24"/>
          <w:szCs w:val="24"/>
          <w:lang w:val="ro-MD"/>
        </w:rPr>
        <w:t>V</w:t>
      </w:r>
    </w:p>
    <w:p w14:paraId="7A9CB577" w14:textId="486DF270" w:rsidR="004A0F64" w:rsidRPr="006C31DC" w:rsidRDefault="004A0F64" w:rsidP="004A4E82">
      <w:pPr>
        <w:pStyle w:val="CM4"/>
        <w:spacing w:before="60" w:after="60"/>
        <w:ind w:firstLine="567"/>
        <w:jc w:val="center"/>
        <w:rPr>
          <w:color w:val="000000"/>
        </w:rPr>
      </w:pPr>
      <w:r w:rsidRPr="006C31DC">
        <w:rPr>
          <w:b/>
          <w:bCs/>
          <w:color w:val="000000"/>
        </w:rPr>
        <w:t>Abordarea</w:t>
      </w:r>
      <w:r>
        <w:rPr>
          <w:b/>
          <w:bCs/>
          <w:color w:val="000000"/>
        </w:rPr>
        <w:t xml:space="preserve"> </w:t>
      </w:r>
      <w:r w:rsidRPr="006C31DC">
        <w:rPr>
          <w:b/>
          <w:bCs/>
          <w:color w:val="000000"/>
        </w:rPr>
        <w:t>standardiza</w:t>
      </w:r>
      <w:r>
        <w:rPr>
          <w:b/>
          <w:bCs/>
          <w:color w:val="000000"/>
        </w:rPr>
        <w:t>t</w:t>
      </w:r>
      <w:r w:rsidRPr="006C31DC">
        <w:rPr>
          <w:b/>
          <w:bCs/>
          <w:color w:val="000000"/>
        </w:rPr>
        <w:t>ă</w:t>
      </w:r>
      <w:r>
        <w:rPr>
          <w:b/>
          <w:bCs/>
          <w:color w:val="000000"/>
        </w:rPr>
        <w:t xml:space="preserve"> simpli</w:t>
      </w:r>
      <w:r w:rsidR="00AD6406">
        <w:rPr>
          <w:b/>
          <w:bCs/>
          <w:color w:val="000000"/>
        </w:rPr>
        <w:t>fi</w:t>
      </w:r>
      <w:r>
        <w:rPr>
          <w:b/>
          <w:bCs/>
          <w:color w:val="000000"/>
        </w:rPr>
        <w:t>cată</w:t>
      </w:r>
      <w:r w:rsidRPr="006C31DC">
        <w:rPr>
          <w:b/>
          <w:bCs/>
          <w:color w:val="000000"/>
        </w:rPr>
        <w:t xml:space="preserve"> pentru</w:t>
      </w:r>
      <w:r>
        <w:rPr>
          <w:b/>
          <w:bCs/>
          <w:color w:val="000000"/>
        </w:rPr>
        <w:t xml:space="preserve"> </w:t>
      </w:r>
      <w:r w:rsidRPr="006C31DC">
        <w:rPr>
          <w:b/>
          <w:bCs/>
          <w:color w:val="000000"/>
        </w:rPr>
        <w:t>riscul de credit</w:t>
      </w:r>
      <w:r>
        <w:rPr>
          <w:b/>
          <w:bCs/>
          <w:color w:val="000000"/>
        </w:rPr>
        <w:t xml:space="preserve"> </w:t>
      </w:r>
      <w:r w:rsidRPr="006C31DC">
        <w:rPr>
          <w:b/>
          <w:bCs/>
          <w:color w:val="000000"/>
        </w:rPr>
        <w:t>al contrapărţii</w:t>
      </w:r>
    </w:p>
    <w:p w14:paraId="7F728E5F" w14:textId="1289DE78" w:rsidR="004A0F64" w:rsidRDefault="004A0F64" w:rsidP="004A4E82">
      <w:pPr>
        <w:pStyle w:val="CM4"/>
        <w:spacing w:before="60" w:after="60"/>
        <w:ind w:firstLine="567"/>
        <w:jc w:val="center"/>
        <w:rPr>
          <w:i/>
          <w:iCs/>
          <w:color w:val="000000"/>
        </w:rPr>
      </w:pPr>
      <w:r w:rsidRPr="009819FD">
        <w:rPr>
          <w:i/>
          <w:iCs/>
          <w:color w:val="000000"/>
        </w:rPr>
        <w:t xml:space="preserve">Secțiunea </w:t>
      </w:r>
      <w:r>
        <w:rPr>
          <w:i/>
          <w:iCs/>
          <w:color w:val="000000"/>
        </w:rPr>
        <w:t xml:space="preserve">1 </w:t>
      </w:r>
    </w:p>
    <w:p w14:paraId="4EA83180" w14:textId="77777777" w:rsidR="00354DDA" w:rsidRPr="00CA27C5" w:rsidRDefault="00354DDA" w:rsidP="004A4E82">
      <w:pPr>
        <w:pStyle w:val="Default"/>
        <w:ind w:firstLine="567"/>
        <w:jc w:val="center"/>
        <w:rPr>
          <w:b/>
          <w:bCs/>
        </w:rPr>
      </w:pPr>
      <w:r w:rsidRPr="00CA27C5">
        <w:rPr>
          <w:b/>
          <w:bCs/>
        </w:rPr>
        <w:t>Calculul valorii expunerii</w:t>
      </w:r>
    </w:p>
    <w:p w14:paraId="257FD887" w14:textId="6263AD48" w:rsidR="00354DDA" w:rsidRDefault="00B7029A" w:rsidP="004A4E82">
      <w:pPr>
        <w:pStyle w:val="Default"/>
        <w:ind w:firstLine="567"/>
        <w:jc w:val="both"/>
      </w:pPr>
      <w:r>
        <w:rPr>
          <w:b/>
          <w:bCs/>
        </w:rPr>
        <w:t>8</w:t>
      </w:r>
      <w:r w:rsidR="004B1CE6">
        <w:rPr>
          <w:b/>
          <w:bCs/>
        </w:rPr>
        <w:t>4</w:t>
      </w:r>
      <w:r w:rsidR="004A0F64" w:rsidRPr="00CA27C5">
        <w:rPr>
          <w:b/>
          <w:bCs/>
        </w:rPr>
        <w:t>.</w:t>
      </w:r>
      <w:r w:rsidR="00354DDA">
        <w:t xml:space="preserve"> </w:t>
      </w:r>
      <w:r w:rsidR="004A0F64">
        <w:t>Băncile</w:t>
      </w:r>
      <w:r w:rsidR="00354DDA">
        <w:t xml:space="preserve"> calculează o singură valoare a expunerii la nivelul unui set de compensare în conformitate cu </w:t>
      </w:r>
      <w:r w:rsidR="004A0F64" w:rsidRPr="00EB28E6">
        <w:t>capitolul III</w:t>
      </w:r>
      <w:r w:rsidR="00354DDA" w:rsidRPr="00EB28E6">
        <w:t xml:space="preserve">, sub rezerva </w:t>
      </w:r>
      <w:r w:rsidR="004A0F64" w:rsidRPr="00EB28E6">
        <w:t xml:space="preserve">punctului </w:t>
      </w:r>
      <w:r w:rsidR="00EB28E6" w:rsidRPr="00CA27C5">
        <w:t>85</w:t>
      </w:r>
      <w:r w:rsidR="00354DDA" w:rsidRPr="00EB28E6">
        <w:t>.</w:t>
      </w:r>
      <w:r w:rsidR="00354DDA">
        <w:t xml:space="preserve"> </w:t>
      </w:r>
    </w:p>
    <w:p w14:paraId="34A266BF" w14:textId="492EBCEE" w:rsidR="00354DDA" w:rsidRDefault="00B7029A" w:rsidP="004A4E82">
      <w:pPr>
        <w:pStyle w:val="Default"/>
        <w:ind w:firstLine="567"/>
        <w:jc w:val="both"/>
      </w:pPr>
      <w:r>
        <w:rPr>
          <w:b/>
          <w:bCs/>
        </w:rPr>
        <w:t>8</w:t>
      </w:r>
      <w:r w:rsidR="004B1CE6">
        <w:rPr>
          <w:b/>
          <w:bCs/>
        </w:rPr>
        <w:t>5</w:t>
      </w:r>
      <w:r w:rsidR="004A0F64" w:rsidRPr="00CA27C5">
        <w:rPr>
          <w:b/>
          <w:bCs/>
        </w:rPr>
        <w:t>.</w:t>
      </w:r>
      <w:r w:rsidR="00354DDA">
        <w:t xml:space="preserve"> Valoarea expunerii unui set de compensare se calculează în conformitate cu următoarele cerinţe: </w:t>
      </w:r>
    </w:p>
    <w:p w14:paraId="554C6D99" w14:textId="6068B70D" w:rsidR="00354DDA" w:rsidRDefault="00B7029A" w:rsidP="004A4E82">
      <w:pPr>
        <w:pStyle w:val="Default"/>
        <w:ind w:firstLine="567"/>
        <w:jc w:val="both"/>
      </w:pPr>
      <w:r>
        <w:t>1</w:t>
      </w:r>
      <w:r w:rsidR="00354DDA">
        <w:t xml:space="preserve">) </w:t>
      </w:r>
      <w:r w:rsidR="004A0F64">
        <w:t>băncile</w:t>
      </w:r>
      <w:r w:rsidR="00354DDA">
        <w:t xml:space="preserve"> nu aplică tratamentul menţionat la </w:t>
      </w:r>
      <w:r w:rsidR="009C3478">
        <w:t>punctul 36</w:t>
      </w:r>
      <w:r w:rsidR="00354DDA" w:rsidRPr="009C3478">
        <w:t>;</w:t>
      </w:r>
      <w:r w:rsidR="00354DDA">
        <w:t xml:space="preserve"> </w:t>
      </w:r>
    </w:p>
    <w:p w14:paraId="701579F8" w14:textId="713384CB" w:rsidR="00354DDA" w:rsidRDefault="00B7029A" w:rsidP="004A4E82">
      <w:pPr>
        <w:pStyle w:val="Default"/>
        <w:ind w:firstLine="567"/>
        <w:jc w:val="both"/>
      </w:pPr>
      <w:r>
        <w:t>2</w:t>
      </w:r>
      <w:r w:rsidR="00354DDA">
        <w:t xml:space="preserve">) prin derogare de la </w:t>
      </w:r>
      <w:r w:rsidR="009C3478" w:rsidRPr="00CA27C5">
        <w:t>punctul 38</w:t>
      </w:r>
      <w:r w:rsidR="00354DDA" w:rsidRPr="009C3478">
        <w:t xml:space="preserve">, în cazul seturilor de compensare care nu sunt menţionate la </w:t>
      </w:r>
      <w:r w:rsidR="009C3478" w:rsidRPr="00CA27C5">
        <w:t>punctul 39</w:t>
      </w:r>
      <w:r w:rsidR="00354DDA" w:rsidRPr="009C3478">
        <w:t xml:space="preserve">, </w:t>
      </w:r>
      <w:r w:rsidR="004A0F64" w:rsidRPr="009C3478">
        <w:t>băncile</w:t>
      </w:r>
      <w:r w:rsidR="00354DDA" w:rsidRPr="009C3478">
        <w:t xml:space="preserve"> calculează costul de înlocuire în conformitate cu următoarea formulă:</w:t>
      </w:r>
      <w:r w:rsidR="00354DDA">
        <w:t xml:space="preserve"> </w:t>
      </w:r>
    </w:p>
    <w:p w14:paraId="02F514CF" w14:textId="3C352D42" w:rsidR="00354DDA" w:rsidRDefault="00354DDA" w:rsidP="004A4E82">
      <w:pPr>
        <w:pStyle w:val="Default"/>
        <w:ind w:firstLine="567"/>
        <w:jc w:val="center"/>
      </w:pPr>
      <w:r>
        <w:t>RC = max{CMV, 0}</w:t>
      </w:r>
    </w:p>
    <w:p w14:paraId="0F2C0A77" w14:textId="77777777" w:rsidR="00354DDA" w:rsidRDefault="00354DDA" w:rsidP="004A4E82">
      <w:pPr>
        <w:pStyle w:val="Default"/>
        <w:ind w:firstLine="567"/>
        <w:jc w:val="both"/>
      </w:pPr>
      <w:r>
        <w:t xml:space="preserve">unde: </w:t>
      </w:r>
    </w:p>
    <w:p w14:paraId="279A32BA" w14:textId="77777777" w:rsidR="00354DDA" w:rsidRDefault="00354DDA" w:rsidP="004A4E82">
      <w:pPr>
        <w:pStyle w:val="Default"/>
        <w:ind w:firstLine="567"/>
        <w:jc w:val="both"/>
      </w:pPr>
      <w:r>
        <w:t xml:space="preserve">RC = costul de înlocuire; și </w:t>
      </w:r>
    </w:p>
    <w:p w14:paraId="6198DC97" w14:textId="77777777" w:rsidR="00354DDA" w:rsidRDefault="00354DDA" w:rsidP="004A4E82">
      <w:pPr>
        <w:pStyle w:val="Default"/>
        <w:ind w:firstLine="567"/>
        <w:jc w:val="both"/>
      </w:pPr>
      <w:r>
        <w:t xml:space="preserve">CMV = valoarea de piaţă curentă. </w:t>
      </w:r>
    </w:p>
    <w:p w14:paraId="6098A3F6" w14:textId="73FACBF2" w:rsidR="00354DDA" w:rsidRDefault="003B77DD" w:rsidP="004A4E82">
      <w:pPr>
        <w:pStyle w:val="Default"/>
        <w:ind w:firstLine="567"/>
        <w:jc w:val="both"/>
      </w:pPr>
      <w:r>
        <w:t>3</w:t>
      </w:r>
      <w:r w:rsidR="00354DDA">
        <w:t xml:space="preserve">) prin derogare de la </w:t>
      </w:r>
      <w:r w:rsidR="009C3478">
        <w:t>punctul 40,</w:t>
      </w:r>
      <w:r w:rsidR="00354DDA">
        <w:t xml:space="preserve"> în cazul seturilor de compensare multiple care fac obiectul unui contract în marjă, </w:t>
      </w:r>
      <w:r w:rsidR="00F3107E">
        <w:t xml:space="preserve">băncile </w:t>
      </w:r>
      <w:r w:rsidR="00354DDA">
        <w:t xml:space="preserve">calculează costul de înlocuire ca fiind suma costurilor de înlocuire ale fiecărui set de compensare individual, calculate în conformitate cu </w:t>
      </w:r>
      <w:r w:rsidR="00F3107E" w:rsidRPr="009C3478">
        <w:t xml:space="preserve">punctului </w:t>
      </w:r>
      <w:r w:rsidR="009C3478">
        <w:t>84</w:t>
      </w:r>
      <w:r w:rsidR="00354DDA">
        <w:t xml:space="preserve"> ca și cum acestea nu ar face obiectul cerinţelor de marjă; </w:t>
      </w:r>
    </w:p>
    <w:p w14:paraId="5AD6FBB1" w14:textId="602FA280" w:rsidR="00354DDA" w:rsidRDefault="003B77DD" w:rsidP="004A4E82">
      <w:pPr>
        <w:pStyle w:val="Default"/>
        <w:ind w:firstLine="567"/>
        <w:jc w:val="both"/>
      </w:pPr>
      <w:r>
        <w:t>4</w:t>
      </w:r>
      <w:r w:rsidR="00354DDA">
        <w:t xml:space="preserve">) toate seturile de acoperire a riscului se stabilesc în conformitate cu </w:t>
      </w:r>
      <w:r w:rsidR="009C3478">
        <w:t>punctul 48;</w:t>
      </w:r>
      <w:r w:rsidR="00354DDA">
        <w:t xml:space="preserve"> </w:t>
      </w:r>
    </w:p>
    <w:p w14:paraId="0482A1A7" w14:textId="20BC5E5B" w:rsidR="00354DDA" w:rsidRDefault="003B77DD" w:rsidP="004A4E82">
      <w:pPr>
        <w:pStyle w:val="Default"/>
        <w:ind w:firstLine="567"/>
        <w:jc w:val="both"/>
      </w:pPr>
      <w:r>
        <w:t>5</w:t>
      </w:r>
      <w:r w:rsidR="00354DDA">
        <w:t xml:space="preserve">) </w:t>
      </w:r>
      <w:r w:rsidR="00F3107E">
        <w:t xml:space="preserve">băncile </w:t>
      </w:r>
      <w:r w:rsidR="00354DDA">
        <w:t xml:space="preserve">stabilesc ca multiplicatorul din formula care este folosită pentru a calcula expunerea viitoare potenţială de </w:t>
      </w:r>
      <w:r w:rsidR="00354DDA" w:rsidRPr="009C3478">
        <w:t xml:space="preserve">la </w:t>
      </w:r>
      <w:r w:rsidR="009C3478">
        <w:t>punctul 51</w:t>
      </w:r>
      <w:r w:rsidR="00354DDA">
        <w:t xml:space="preserve"> să fie egal cu 1, după cum urmează: </w:t>
      </w:r>
    </w:p>
    <w:p w14:paraId="228029CF" w14:textId="3E0C4475" w:rsidR="00354DDA" w:rsidRPr="00CA27C5" w:rsidRDefault="00F3107E" w:rsidP="004A4E82">
      <w:pPr>
        <w:pStyle w:val="Default"/>
        <w:ind w:firstLine="567"/>
        <w:jc w:val="center"/>
        <w:rPr>
          <w:lang w:val="en-US"/>
        </w:rPr>
      </w:pPr>
      <w:r>
        <w:rPr>
          <w:noProof/>
          <w:lang w:val="en-US"/>
        </w:rPr>
        <w:drawing>
          <wp:inline distT="0" distB="0" distL="0" distR="0" wp14:anchorId="2C3B73ED" wp14:editId="7FDB1799">
            <wp:extent cx="1431985" cy="391709"/>
            <wp:effectExtent l="0" t="0" r="0" b="8890"/>
            <wp:docPr id="1669030128" name="Picture 72" descr="A black and whit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30128" name="Picture 72" descr="A black and white symbol  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68671" cy="401744"/>
                    </a:xfrm>
                    <a:prstGeom prst="rect">
                      <a:avLst/>
                    </a:prstGeom>
                    <a:noFill/>
                  </pic:spPr>
                </pic:pic>
              </a:graphicData>
            </a:graphic>
          </wp:inline>
        </w:drawing>
      </w:r>
    </w:p>
    <w:p w14:paraId="29D0AF23" w14:textId="77777777" w:rsidR="00354DDA" w:rsidRDefault="00354DDA" w:rsidP="004A4E82">
      <w:pPr>
        <w:pStyle w:val="Default"/>
        <w:ind w:firstLine="567"/>
        <w:jc w:val="both"/>
      </w:pPr>
      <w:r>
        <w:t xml:space="preserve">unde: </w:t>
      </w:r>
    </w:p>
    <w:p w14:paraId="45DB8963" w14:textId="77777777" w:rsidR="00354DDA" w:rsidRDefault="00354DDA" w:rsidP="004A4E82">
      <w:pPr>
        <w:pStyle w:val="Default"/>
        <w:ind w:firstLine="567"/>
        <w:jc w:val="both"/>
      </w:pPr>
      <w:r>
        <w:t xml:space="preserve">PFE = expunere viitoare potenţială; și </w:t>
      </w:r>
    </w:p>
    <w:p w14:paraId="1232733C" w14:textId="5DB55B67" w:rsidR="00354DDA" w:rsidRDefault="00627AAE" w:rsidP="004A4E82">
      <w:pPr>
        <w:pStyle w:val="Default"/>
        <w:ind w:firstLine="567"/>
        <w:jc w:val="both"/>
      </w:pPr>
      <w:r w:rsidRPr="006C31DC">
        <w:t>AddOn</w:t>
      </w:r>
      <w:r w:rsidRPr="00DF3FC9">
        <w:rPr>
          <w:vertAlign w:val="superscript"/>
        </w:rPr>
        <w:t>(a)</w:t>
      </w:r>
      <w:r w:rsidRPr="006C31DC">
        <w:t xml:space="preserve"> </w:t>
      </w:r>
      <w:r w:rsidR="00354DDA">
        <w:t xml:space="preserve">= majorarea pentru categoria de risc „a”; </w:t>
      </w:r>
    </w:p>
    <w:p w14:paraId="68C92A49" w14:textId="57175343" w:rsidR="009A22E4" w:rsidRDefault="003B77DD" w:rsidP="004A4E82">
      <w:pPr>
        <w:pStyle w:val="Default"/>
        <w:ind w:firstLine="567"/>
        <w:jc w:val="both"/>
      </w:pPr>
      <w:r>
        <w:t>6</w:t>
      </w:r>
      <w:r w:rsidR="00354DDA">
        <w:t xml:space="preserve">) prin derogare de la </w:t>
      </w:r>
      <w:r w:rsidR="0067615A">
        <w:t>punctul 55</w:t>
      </w:r>
      <w:r w:rsidR="00354DDA">
        <w:t xml:space="preserve">, în cazul tuturor tranzacţiilor </w:t>
      </w:r>
      <w:r w:rsidR="00AF4E45">
        <w:t xml:space="preserve">băncile </w:t>
      </w:r>
      <w:r w:rsidR="00354DDA">
        <w:t>calculează delta reglementată după cum urmează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62"/>
        <w:gridCol w:w="7656"/>
      </w:tblGrid>
      <w:tr w:rsidR="009A22E4" w14:paraId="7BEB0914" w14:textId="77777777" w:rsidTr="00006C2B">
        <w:tc>
          <w:tcPr>
            <w:tcW w:w="562" w:type="dxa"/>
            <w:vMerge w:val="restart"/>
          </w:tcPr>
          <w:p w14:paraId="08681BA6" w14:textId="77777777" w:rsidR="009A22E4" w:rsidRDefault="009A22E4" w:rsidP="004A4E82">
            <w:pPr>
              <w:pStyle w:val="CM4"/>
              <w:tabs>
                <w:tab w:val="left" w:pos="3125"/>
              </w:tabs>
              <w:spacing w:before="60" w:after="60"/>
              <w:ind w:firstLine="567"/>
              <w:rPr>
                <w:color w:val="000000"/>
              </w:rPr>
            </w:pPr>
          </w:p>
          <w:p w14:paraId="1CF95CB7" w14:textId="77777777" w:rsidR="009A22E4" w:rsidRDefault="009A22E4" w:rsidP="00082CBD">
            <w:pPr>
              <w:pStyle w:val="CM4"/>
              <w:tabs>
                <w:tab w:val="left" w:pos="3125"/>
              </w:tabs>
              <w:spacing w:before="60" w:after="60"/>
              <w:rPr>
                <w:color w:val="000000"/>
              </w:rPr>
            </w:pPr>
            <w:r w:rsidRPr="006C31DC">
              <w:rPr>
                <w:color w:val="000000"/>
              </w:rPr>
              <w:t>δ =</w:t>
            </w:r>
          </w:p>
        </w:tc>
        <w:tc>
          <w:tcPr>
            <w:tcW w:w="559" w:type="dxa"/>
            <w:vMerge w:val="restart"/>
          </w:tcPr>
          <w:p w14:paraId="25668ECE" w14:textId="77777777" w:rsidR="009A22E4" w:rsidRPr="009754DD" w:rsidRDefault="009A22E4" w:rsidP="00006C2B">
            <w:pPr>
              <w:pStyle w:val="CM4"/>
              <w:tabs>
                <w:tab w:val="left" w:pos="3125"/>
              </w:tabs>
              <w:spacing w:before="60" w:after="60"/>
              <w:rPr>
                <w:color w:val="000000"/>
                <w:sz w:val="72"/>
                <w:szCs w:val="72"/>
              </w:rPr>
            </w:pPr>
            <w:r w:rsidRPr="009754DD">
              <w:rPr>
                <w:color w:val="000000"/>
                <w:sz w:val="72"/>
                <w:szCs w:val="72"/>
              </w:rPr>
              <w:t>{</w:t>
            </w:r>
          </w:p>
        </w:tc>
        <w:tc>
          <w:tcPr>
            <w:tcW w:w="7656" w:type="dxa"/>
          </w:tcPr>
          <w:p w14:paraId="6A8142C2" w14:textId="7CE6529A" w:rsidR="009A22E4" w:rsidRDefault="009A22E4" w:rsidP="00006C2B">
            <w:pPr>
              <w:pStyle w:val="CM4"/>
              <w:spacing w:before="60" w:after="60"/>
              <w:rPr>
                <w:color w:val="000000"/>
              </w:rPr>
            </w:pPr>
            <w:r w:rsidRPr="006C31DC">
              <w:rPr>
                <w:color w:val="000000"/>
              </w:rPr>
              <w:t xml:space="preserve">+ 1 dacă tranzacţia este o poziţie lungă pe determinantul de risc principal </w:t>
            </w:r>
          </w:p>
        </w:tc>
      </w:tr>
      <w:tr w:rsidR="009A22E4" w14:paraId="387833D3" w14:textId="77777777" w:rsidTr="00006C2B">
        <w:tc>
          <w:tcPr>
            <w:tcW w:w="562" w:type="dxa"/>
            <w:vMerge/>
          </w:tcPr>
          <w:p w14:paraId="02C84718" w14:textId="77777777" w:rsidR="009A22E4" w:rsidRDefault="009A22E4" w:rsidP="004A4E82">
            <w:pPr>
              <w:pStyle w:val="CM4"/>
              <w:tabs>
                <w:tab w:val="left" w:pos="3125"/>
              </w:tabs>
              <w:spacing w:before="60" w:after="60"/>
              <w:ind w:firstLine="567"/>
              <w:rPr>
                <w:color w:val="000000"/>
              </w:rPr>
            </w:pPr>
          </w:p>
        </w:tc>
        <w:tc>
          <w:tcPr>
            <w:tcW w:w="559" w:type="dxa"/>
            <w:vMerge/>
          </w:tcPr>
          <w:p w14:paraId="585C1CE3" w14:textId="77777777" w:rsidR="009A22E4" w:rsidRDefault="009A22E4" w:rsidP="004A4E82">
            <w:pPr>
              <w:pStyle w:val="CM4"/>
              <w:tabs>
                <w:tab w:val="left" w:pos="3125"/>
              </w:tabs>
              <w:spacing w:before="60" w:after="60"/>
              <w:ind w:firstLine="567"/>
              <w:rPr>
                <w:color w:val="000000"/>
              </w:rPr>
            </w:pPr>
          </w:p>
        </w:tc>
        <w:tc>
          <w:tcPr>
            <w:tcW w:w="7656" w:type="dxa"/>
          </w:tcPr>
          <w:p w14:paraId="60CD2102" w14:textId="77777777" w:rsidR="009A22E4" w:rsidRPr="009754DD" w:rsidRDefault="009A22E4" w:rsidP="00006C2B">
            <w:pPr>
              <w:pStyle w:val="CM4"/>
              <w:spacing w:before="60" w:after="60"/>
              <w:rPr>
                <w:rFonts w:ascii="FCLLGD+TeX_CM_Maths_Extension" w:hAnsi="FCLLGD+TeX_CM_Maths_Extension" w:cs="FCLLGD+TeX_CM_Maths_Extension"/>
                <w:color w:val="000000"/>
              </w:rPr>
            </w:pPr>
            <w:r w:rsidRPr="006C31DC">
              <w:rPr>
                <w:color w:val="000000"/>
              </w:rPr>
              <w:t xml:space="preserve">– 1 dacă tranzacţia este o poziţie scurtă pe determinantul de risc principal </w:t>
            </w:r>
          </w:p>
        </w:tc>
      </w:tr>
    </w:tbl>
    <w:p w14:paraId="7F99A8E9" w14:textId="1F24FB4B" w:rsidR="00354DDA" w:rsidRDefault="00354DDA" w:rsidP="004A4E82">
      <w:pPr>
        <w:pStyle w:val="Default"/>
        <w:ind w:firstLine="567"/>
        <w:jc w:val="both"/>
      </w:pPr>
    </w:p>
    <w:p w14:paraId="1E407703" w14:textId="77777777" w:rsidR="00354DDA" w:rsidRDefault="00354DDA" w:rsidP="004A4E82">
      <w:pPr>
        <w:pStyle w:val="Default"/>
        <w:ind w:firstLine="567"/>
        <w:jc w:val="both"/>
      </w:pPr>
      <w:r>
        <w:t xml:space="preserve">unde: </w:t>
      </w:r>
    </w:p>
    <w:p w14:paraId="2A227520" w14:textId="77777777" w:rsidR="00354DDA" w:rsidRDefault="00354DDA" w:rsidP="004A4E82">
      <w:pPr>
        <w:pStyle w:val="Default"/>
        <w:ind w:firstLine="567"/>
        <w:jc w:val="both"/>
      </w:pPr>
      <w:r>
        <w:t xml:space="preserve">δ = delta de supraveghere; </w:t>
      </w:r>
    </w:p>
    <w:p w14:paraId="06F40799" w14:textId="1457BF79" w:rsidR="00354DDA" w:rsidRDefault="00E45F4D" w:rsidP="004A4E82">
      <w:pPr>
        <w:pStyle w:val="Default"/>
        <w:ind w:firstLine="567"/>
        <w:jc w:val="both"/>
      </w:pPr>
      <w:r>
        <w:t>7</w:t>
      </w:r>
      <w:r w:rsidR="00354DDA">
        <w:t xml:space="preserve">) formula, menţionată la </w:t>
      </w:r>
      <w:r w:rsidR="0067615A">
        <w:t>punctul 57 subpunctul 1)</w:t>
      </w:r>
      <w:r w:rsidR="00354DDA">
        <w:t xml:space="preserve">, care este utilizată pentru a calcula factorul duratei reglementat este următoarea: </w:t>
      </w:r>
    </w:p>
    <w:p w14:paraId="5AD42A2F" w14:textId="77777777" w:rsidR="00354DDA" w:rsidRDefault="00354DDA" w:rsidP="004A4E82">
      <w:pPr>
        <w:pStyle w:val="Default"/>
        <w:ind w:firstLine="567"/>
        <w:jc w:val="both"/>
      </w:pPr>
      <w:r>
        <w:t xml:space="preserve">factorul duratei reglementat=E – S </w:t>
      </w:r>
    </w:p>
    <w:p w14:paraId="1863305B" w14:textId="77777777" w:rsidR="00354DDA" w:rsidRDefault="00354DDA" w:rsidP="004A4E82">
      <w:pPr>
        <w:pStyle w:val="Default"/>
        <w:ind w:firstLine="567"/>
        <w:jc w:val="both"/>
      </w:pPr>
      <w:r>
        <w:t xml:space="preserve">unde: </w:t>
      </w:r>
    </w:p>
    <w:p w14:paraId="3042E063" w14:textId="77777777" w:rsidR="00354DDA" w:rsidRDefault="00354DDA" w:rsidP="004A4E82">
      <w:pPr>
        <w:pStyle w:val="Default"/>
        <w:ind w:firstLine="567"/>
        <w:jc w:val="both"/>
      </w:pPr>
      <w:r>
        <w:t xml:space="preserve">E = perioada dintre data de încetare a unei tranzacţii și data raportării; și </w:t>
      </w:r>
    </w:p>
    <w:p w14:paraId="10A6FAD4" w14:textId="77777777" w:rsidR="00354DDA" w:rsidRDefault="00354DDA" w:rsidP="004A4E82">
      <w:pPr>
        <w:pStyle w:val="Default"/>
        <w:ind w:firstLine="567"/>
        <w:jc w:val="both"/>
      </w:pPr>
      <w:r>
        <w:t xml:space="preserve">S = perioada dintre data de începere a unei tranzacţii și data raportării; </w:t>
      </w:r>
    </w:p>
    <w:p w14:paraId="70F147B7" w14:textId="0E271369" w:rsidR="00354DDA" w:rsidRDefault="005A7B17" w:rsidP="004A4E82">
      <w:pPr>
        <w:pStyle w:val="Default"/>
        <w:ind w:firstLine="567"/>
        <w:jc w:val="both"/>
      </w:pPr>
      <w:r>
        <w:t>8</w:t>
      </w:r>
      <w:r w:rsidR="00354DDA">
        <w:t xml:space="preserve">) factorul de scadenţă prevăzut la </w:t>
      </w:r>
      <w:r w:rsidR="0067615A">
        <w:t>punctul 60</w:t>
      </w:r>
      <w:r w:rsidR="00354DDA">
        <w:t xml:space="preserve"> se calculează după cum urmează: </w:t>
      </w:r>
    </w:p>
    <w:p w14:paraId="73593A3A" w14:textId="2022950E" w:rsidR="00354DDA" w:rsidRDefault="001E625E" w:rsidP="004A4E82">
      <w:pPr>
        <w:pStyle w:val="Default"/>
        <w:ind w:firstLine="567"/>
        <w:jc w:val="both"/>
      </w:pPr>
      <w:r>
        <w:t>-</w:t>
      </w:r>
      <w:r w:rsidR="00354DDA">
        <w:t xml:space="preserve"> în cazul tranzacţiilor incluse în seturile de compensare menţionate la </w:t>
      </w:r>
      <w:r w:rsidR="0067615A">
        <w:t>punctul</w:t>
      </w:r>
      <w:r w:rsidR="0048510B">
        <w:t xml:space="preserve"> 38</w:t>
      </w:r>
      <w:r w:rsidR="00354DDA">
        <w:t xml:space="preserve">, MF = 1; </w:t>
      </w:r>
    </w:p>
    <w:p w14:paraId="411BC1ED" w14:textId="66FCEAE9" w:rsidR="00354DDA" w:rsidRDefault="001E625E" w:rsidP="004A4E82">
      <w:pPr>
        <w:pStyle w:val="Default"/>
        <w:ind w:firstLine="567"/>
        <w:jc w:val="both"/>
      </w:pPr>
      <w:r>
        <w:t>-</w:t>
      </w:r>
      <w:r w:rsidR="00354DDA">
        <w:t xml:space="preserve"> în cazul tranzacţiilor incluse în seturile de compensare menţionate la </w:t>
      </w:r>
      <w:r w:rsidR="0048510B">
        <w:t>punctele 39 și 40</w:t>
      </w:r>
      <w:r w:rsidR="00354DDA">
        <w:t xml:space="preserve">, MF = 0,42; </w:t>
      </w:r>
    </w:p>
    <w:p w14:paraId="60EB6881" w14:textId="4EFE4B10" w:rsidR="00354DDA" w:rsidRDefault="005A7B17" w:rsidP="004A4E82">
      <w:pPr>
        <w:pStyle w:val="Default"/>
        <w:ind w:firstLine="567"/>
        <w:jc w:val="both"/>
      </w:pPr>
      <w:r>
        <w:t>9</w:t>
      </w:r>
      <w:r w:rsidR="00354DDA">
        <w:t xml:space="preserve">) formula, menţionată la </w:t>
      </w:r>
      <w:r w:rsidR="0048510B" w:rsidRPr="00CA27C5">
        <w:t>punctul 65</w:t>
      </w:r>
      <w:r w:rsidR="00354DDA" w:rsidRPr="0048510B">
        <w:t>,</w:t>
      </w:r>
      <w:r w:rsidR="00354DDA">
        <w:t xml:space="preserve"> care este utilizată pentru a calcula valoarea noţională efectivă a setului de acoperire a riscului „j” este următoarea: </w:t>
      </w:r>
    </w:p>
    <w:p w14:paraId="4214FAAC" w14:textId="2580BDC3" w:rsidR="00354DDA" w:rsidRDefault="00E02BC4" w:rsidP="004A4E82">
      <w:pPr>
        <w:pStyle w:val="Default"/>
        <w:ind w:firstLine="567"/>
        <w:jc w:val="center"/>
      </w:pPr>
      <w:r>
        <w:rPr>
          <w:noProof/>
          <w:lang w:val="en-US"/>
        </w:rPr>
        <w:drawing>
          <wp:inline distT="0" distB="0" distL="0" distR="0" wp14:anchorId="5B7F1C4E" wp14:editId="366DD486">
            <wp:extent cx="2769079" cy="338085"/>
            <wp:effectExtent l="0" t="0" r="0" b="5080"/>
            <wp:docPr id="7690266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86293" cy="340187"/>
                    </a:xfrm>
                    <a:prstGeom prst="rect">
                      <a:avLst/>
                    </a:prstGeom>
                    <a:noFill/>
                  </pic:spPr>
                </pic:pic>
              </a:graphicData>
            </a:graphic>
          </wp:inline>
        </w:drawing>
      </w:r>
    </w:p>
    <w:p w14:paraId="39E18235" w14:textId="77777777" w:rsidR="00354DDA" w:rsidRDefault="00354DDA" w:rsidP="004A4E82">
      <w:pPr>
        <w:pStyle w:val="Default"/>
        <w:ind w:firstLine="567"/>
        <w:jc w:val="both"/>
      </w:pPr>
      <w:r>
        <w:t xml:space="preserve">unde: </w:t>
      </w:r>
    </w:p>
    <w:p w14:paraId="1B4D1069" w14:textId="3A2C029F" w:rsidR="00354DDA" w:rsidRDefault="00E02BC4" w:rsidP="004A4E82">
      <w:pPr>
        <w:pStyle w:val="Default"/>
        <w:ind w:firstLine="567"/>
        <w:jc w:val="both"/>
      </w:pPr>
      <w:r>
        <w:rPr>
          <w:noProof/>
          <w:lang w:val="en-US"/>
        </w:rPr>
        <w:drawing>
          <wp:inline distT="0" distB="0" distL="0" distR="0" wp14:anchorId="45088C46" wp14:editId="73FA3D3B">
            <wp:extent cx="616175" cy="258793"/>
            <wp:effectExtent l="0" t="0" r="0" b="8255"/>
            <wp:docPr id="14314123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28766" cy="264081"/>
                    </a:xfrm>
                    <a:prstGeom prst="rect">
                      <a:avLst/>
                    </a:prstGeom>
                    <a:noFill/>
                  </pic:spPr>
                </pic:pic>
              </a:graphicData>
            </a:graphic>
          </wp:inline>
        </w:drawing>
      </w:r>
      <w:r w:rsidR="00354DDA">
        <w:t xml:space="preserve">= valoarea noţională efectivă a setului de acoperire a riscului „j”; și </w:t>
      </w:r>
    </w:p>
    <w:p w14:paraId="767B47DC" w14:textId="77777777" w:rsidR="00354DDA" w:rsidRDefault="00354DDA" w:rsidP="004A4E82">
      <w:pPr>
        <w:pStyle w:val="Default"/>
        <w:ind w:firstLine="567"/>
        <w:jc w:val="both"/>
      </w:pPr>
      <w:r>
        <w:t xml:space="preserve">Dj,k = valoarea noţională efectivă a benzii „k” a setului de acoperire a riscului „j”; </w:t>
      </w:r>
    </w:p>
    <w:p w14:paraId="7280BA34" w14:textId="0DE35CBD" w:rsidR="00354DDA" w:rsidRDefault="005A7B17" w:rsidP="004A4E82">
      <w:pPr>
        <w:pStyle w:val="Default"/>
        <w:ind w:firstLine="567"/>
        <w:jc w:val="both"/>
      </w:pPr>
      <w:r>
        <w:t>10</w:t>
      </w:r>
      <w:r w:rsidR="00354DDA">
        <w:t xml:space="preserve">) formula menţionată la </w:t>
      </w:r>
      <w:r w:rsidR="00082CBD">
        <w:t>punctul 70</w:t>
      </w:r>
      <w:r w:rsidR="00354DDA">
        <w:t xml:space="preserve"> care este utilizată pentru a calcula majorarea aferentă categoriei de risc de credit pentru setul de acoperire a riscului „j” se citește după cum urmează: </w:t>
      </w:r>
    </w:p>
    <w:p w14:paraId="4F7463B0" w14:textId="0A25B847" w:rsidR="00354DDA" w:rsidRDefault="00E02BC4" w:rsidP="004A4E82">
      <w:pPr>
        <w:pStyle w:val="Default"/>
        <w:ind w:firstLine="567"/>
        <w:jc w:val="center"/>
      </w:pPr>
      <w:r>
        <w:rPr>
          <w:noProof/>
          <w:lang w:val="en-US"/>
        </w:rPr>
        <w:drawing>
          <wp:inline distT="0" distB="0" distL="0" distR="0" wp14:anchorId="388D839B" wp14:editId="27FE9E30">
            <wp:extent cx="2794958" cy="415835"/>
            <wp:effectExtent l="0" t="0" r="5715" b="3810"/>
            <wp:docPr id="1846085057" name="Picture 75"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85057" name="Picture 75" descr="A black and white text  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20573" cy="419646"/>
                    </a:xfrm>
                    <a:prstGeom prst="rect">
                      <a:avLst/>
                    </a:prstGeom>
                    <a:noFill/>
                  </pic:spPr>
                </pic:pic>
              </a:graphicData>
            </a:graphic>
          </wp:inline>
        </w:drawing>
      </w:r>
    </w:p>
    <w:p w14:paraId="3F212816" w14:textId="77777777" w:rsidR="00354DDA" w:rsidRDefault="00354DDA" w:rsidP="004A4E82">
      <w:pPr>
        <w:pStyle w:val="Default"/>
        <w:ind w:firstLine="567"/>
        <w:jc w:val="both"/>
      </w:pPr>
      <w:r>
        <w:t xml:space="preserve">unde: </w:t>
      </w:r>
    </w:p>
    <w:p w14:paraId="760BA2F7" w14:textId="4AABB4FC" w:rsidR="00354DDA" w:rsidRDefault="00E02BC4" w:rsidP="004A4E82">
      <w:pPr>
        <w:pStyle w:val="Default"/>
        <w:ind w:firstLine="567"/>
        <w:jc w:val="both"/>
      </w:pPr>
      <w:r>
        <w:rPr>
          <w:noProof/>
          <w:lang w:val="en-US"/>
        </w:rPr>
        <w:drawing>
          <wp:inline distT="0" distB="0" distL="0" distR="0" wp14:anchorId="384B0A14" wp14:editId="31CE75A3">
            <wp:extent cx="1130060" cy="226012"/>
            <wp:effectExtent l="0" t="0" r="0" b="3175"/>
            <wp:docPr id="145360919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00354DDA">
        <w:t xml:space="preserve"> = majorarea aferentă categoriei de risc de credit pentru setul de acoperire a riscului „j”; și </w:t>
      </w:r>
    </w:p>
    <w:p w14:paraId="3777C8CE" w14:textId="77777777" w:rsidR="00354DDA" w:rsidRDefault="00354DDA" w:rsidP="004A4E82">
      <w:pPr>
        <w:pStyle w:val="Default"/>
        <w:ind w:firstLine="567"/>
        <w:jc w:val="both"/>
      </w:pPr>
      <w:r>
        <w:t>AddOn(Entitate</w:t>
      </w:r>
      <w:r w:rsidRPr="00CA27C5">
        <w:rPr>
          <w:vertAlign w:val="subscript"/>
        </w:rPr>
        <w:t>k</w:t>
      </w:r>
      <w:r>
        <w:t xml:space="preserve">) = majorarea aferentă entităţii de referinţă privind creditul „k”; </w:t>
      </w:r>
    </w:p>
    <w:p w14:paraId="095F500B" w14:textId="4D357EFC" w:rsidR="00354DDA" w:rsidRDefault="005A7B17" w:rsidP="004A4E82">
      <w:pPr>
        <w:pStyle w:val="Default"/>
        <w:ind w:firstLine="567"/>
        <w:jc w:val="both"/>
      </w:pPr>
      <w:r>
        <w:t>11</w:t>
      </w:r>
      <w:r w:rsidR="00354DDA">
        <w:t xml:space="preserve">) formula menţionată la </w:t>
      </w:r>
      <w:r w:rsidR="0048510B">
        <w:t>punctul 75</w:t>
      </w:r>
      <w:r w:rsidR="00354DDA">
        <w:t xml:space="preserve"> care este utilizată pentru a calcula majorarea aferentă categoriei de risc privind titlurile de capital pentru setul de acoperire a riscului „j” se citește după cum urmează: </w:t>
      </w:r>
    </w:p>
    <w:p w14:paraId="288E7B3B" w14:textId="0F84C935" w:rsidR="00354DDA" w:rsidRDefault="00E02BC4" w:rsidP="004A4E82">
      <w:pPr>
        <w:pStyle w:val="Default"/>
        <w:ind w:firstLine="567"/>
        <w:jc w:val="center"/>
      </w:pPr>
      <w:r>
        <w:rPr>
          <w:noProof/>
          <w:lang w:val="en-US"/>
        </w:rPr>
        <w:drawing>
          <wp:inline distT="0" distB="0" distL="0" distR="0" wp14:anchorId="4BD46B39" wp14:editId="2F2235FC">
            <wp:extent cx="2820838" cy="354750"/>
            <wp:effectExtent l="0" t="0" r="0" b="7620"/>
            <wp:docPr id="1280151953" name="Picture 77" descr="A black and white math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51953" name="Picture 77" descr="A black and white math symbol  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0437" cy="358472"/>
                    </a:xfrm>
                    <a:prstGeom prst="rect">
                      <a:avLst/>
                    </a:prstGeom>
                    <a:noFill/>
                  </pic:spPr>
                </pic:pic>
              </a:graphicData>
            </a:graphic>
          </wp:inline>
        </w:drawing>
      </w:r>
    </w:p>
    <w:p w14:paraId="7D1A59FA" w14:textId="77777777" w:rsidR="00354DDA" w:rsidRDefault="00354DDA" w:rsidP="004A4E82">
      <w:pPr>
        <w:pStyle w:val="Default"/>
        <w:ind w:firstLine="567"/>
        <w:jc w:val="both"/>
      </w:pPr>
      <w:r>
        <w:t xml:space="preserve">unde: </w:t>
      </w:r>
    </w:p>
    <w:p w14:paraId="76FAB9F6" w14:textId="2CE0AF8C" w:rsidR="00354DDA" w:rsidRDefault="00E02BC4" w:rsidP="004A4E82">
      <w:pPr>
        <w:pStyle w:val="Default"/>
        <w:ind w:firstLine="567"/>
        <w:jc w:val="both"/>
      </w:pPr>
      <w:r>
        <w:rPr>
          <w:noProof/>
          <w:lang w:val="en-US"/>
        </w:rPr>
        <w:drawing>
          <wp:inline distT="0" distB="0" distL="0" distR="0" wp14:anchorId="00B00CF8" wp14:editId="7CEE3B84">
            <wp:extent cx="1130060" cy="226012"/>
            <wp:effectExtent l="0" t="0" r="0" b="3175"/>
            <wp:docPr id="1917274136" name="Picture 191727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00354DDA">
        <w:t xml:space="preserve">= majorarea aferentă categoriei de risc privind titlurile de capital pentru setul de acoperire a riscului „j”; și </w:t>
      </w:r>
    </w:p>
    <w:p w14:paraId="0BBD132C" w14:textId="77777777" w:rsidR="00354DDA" w:rsidRDefault="00354DDA" w:rsidP="004A4E82">
      <w:pPr>
        <w:pStyle w:val="Default"/>
        <w:ind w:firstLine="567"/>
        <w:jc w:val="both"/>
      </w:pPr>
      <w:r>
        <w:t>AddOn(Entitate</w:t>
      </w:r>
      <w:r w:rsidRPr="00CA27C5">
        <w:rPr>
          <w:vertAlign w:val="subscript"/>
        </w:rPr>
        <w:t>k</w:t>
      </w:r>
      <w:r>
        <w:t xml:space="preserve">) = majorarea aferentă entităţii de referinţă privind creditul „k”; </w:t>
      </w:r>
    </w:p>
    <w:p w14:paraId="6F953BC0" w14:textId="20C6C823" w:rsidR="00354DDA" w:rsidRDefault="00E45F4D" w:rsidP="004A4E82">
      <w:pPr>
        <w:pStyle w:val="Default"/>
        <w:ind w:firstLine="567"/>
        <w:jc w:val="both"/>
      </w:pPr>
      <w:r>
        <w:t>1</w:t>
      </w:r>
      <w:r w:rsidR="005A7B17">
        <w:t>2</w:t>
      </w:r>
      <w:r w:rsidR="00354DDA">
        <w:t xml:space="preserve">) formula menţionată la </w:t>
      </w:r>
      <w:r w:rsidR="0048510B">
        <w:t>punctul 80</w:t>
      </w:r>
      <w:r w:rsidR="00354DDA">
        <w:t xml:space="preserve"> care este utilizată pentru a calcula majorarea aferentă categoriei de risc de marfă pentru setul de acoperire a riscului „j” se citește după cum urmează: </w:t>
      </w:r>
    </w:p>
    <w:p w14:paraId="4B221A81" w14:textId="56039C71" w:rsidR="00354DDA" w:rsidRDefault="00E02BC4" w:rsidP="004A4E82">
      <w:pPr>
        <w:pStyle w:val="Default"/>
        <w:ind w:firstLine="567"/>
        <w:jc w:val="center"/>
      </w:pPr>
      <w:r>
        <w:rPr>
          <w:noProof/>
          <w:lang w:val="en-US"/>
        </w:rPr>
        <w:drawing>
          <wp:inline distT="0" distB="0" distL="0" distR="0" wp14:anchorId="3C9E8820" wp14:editId="28D900E1">
            <wp:extent cx="2035834" cy="363149"/>
            <wp:effectExtent l="0" t="0" r="2540" b="0"/>
            <wp:docPr id="900835816" name="Picture 79" descr="A black and white symbol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35816" name="Picture 79" descr="A black and white symbol  Description automatically generated with medium confidenc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137574" cy="381297"/>
                    </a:xfrm>
                    <a:prstGeom prst="rect">
                      <a:avLst/>
                    </a:prstGeom>
                    <a:noFill/>
                  </pic:spPr>
                </pic:pic>
              </a:graphicData>
            </a:graphic>
          </wp:inline>
        </w:drawing>
      </w:r>
    </w:p>
    <w:p w14:paraId="765F941D" w14:textId="77777777" w:rsidR="00354DDA" w:rsidRDefault="00354DDA" w:rsidP="004A4E82">
      <w:pPr>
        <w:pStyle w:val="Default"/>
        <w:ind w:firstLine="567"/>
        <w:jc w:val="both"/>
      </w:pPr>
      <w:r>
        <w:t xml:space="preserve">unde: </w:t>
      </w:r>
    </w:p>
    <w:p w14:paraId="4BC200CA" w14:textId="2C04DA2E" w:rsidR="00354DDA" w:rsidRDefault="00354DDA" w:rsidP="004A4E82">
      <w:pPr>
        <w:pStyle w:val="Default"/>
        <w:ind w:firstLine="567"/>
        <w:jc w:val="both"/>
      </w:pPr>
      <w:r>
        <w:lastRenderedPageBreak/>
        <w:t xml:space="preserve"> </w:t>
      </w:r>
      <w:r w:rsidR="00E02BC4">
        <w:rPr>
          <w:noProof/>
          <w:lang w:val="en-US"/>
        </w:rPr>
        <w:drawing>
          <wp:inline distT="0" distB="0" distL="0" distR="0" wp14:anchorId="602CAB9E" wp14:editId="2CC0AE08">
            <wp:extent cx="759124" cy="243599"/>
            <wp:effectExtent l="0" t="0" r="3175" b="4445"/>
            <wp:docPr id="47867690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2812" cy="251200"/>
                    </a:xfrm>
                    <a:prstGeom prst="rect">
                      <a:avLst/>
                    </a:prstGeom>
                    <a:noFill/>
                  </pic:spPr>
                </pic:pic>
              </a:graphicData>
            </a:graphic>
          </wp:inline>
        </w:drawing>
      </w:r>
      <w:r>
        <w:t xml:space="preserve">= majorarea aferentă categoriei de risc de marfă pentru setul de acoperire a riscului „j”; și </w:t>
      </w:r>
    </w:p>
    <w:p w14:paraId="6CA520B8" w14:textId="7441710D" w:rsidR="00354DDA" w:rsidRDefault="00354DDA" w:rsidP="004A4E82">
      <w:pPr>
        <w:pStyle w:val="Default"/>
        <w:ind w:firstLine="567"/>
        <w:jc w:val="both"/>
      </w:pPr>
      <w:r>
        <w:t xml:space="preserve"> </w:t>
      </w:r>
      <w:r w:rsidR="00E02BC4">
        <w:rPr>
          <w:noProof/>
          <w:lang w:val="en-US"/>
        </w:rPr>
        <w:drawing>
          <wp:inline distT="0" distB="0" distL="0" distR="0" wp14:anchorId="29239064" wp14:editId="54671E86">
            <wp:extent cx="776377" cy="257175"/>
            <wp:effectExtent l="0" t="0" r="5080" b="0"/>
            <wp:docPr id="1905813618" name="Picture 81"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13618" name="Picture 81" descr="A close up of a text  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84377" cy="259825"/>
                    </a:xfrm>
                    <a:prstGeom prst="rect">
                      <a:avLst/>
                    </a:prstGeom>
                    <a:noFill/>
                  </pic:spPr>
                </pic:pic>
              </a:graphicData>
            </a:graphic>
          </wp:inline>
        </w:drawing>
      </w:r>
      <w:r w:rsidR="00E02BC4">
        <w:t xml:space="preserve"> </w:t>
      </w:r>
      <w:r>
        <w:t xml:space="preserve">= majorarea aferentă tipului de marfă de referinţă „k”. </w:t>
      </w:r>
    </w:p>
    <w:p w14:paraId="043B6B99" w14:textId="19F78FC1" w:rsidR="00A76356" w:rsidRDefault="00A76356" w:rsidP="004A4E82">
      <w:pPr>
        <w:spacing w:after="0" w:line="240" w:lineRule="auto"/>
        <w:ind w:firstLine="567"/>
        <w:jc w:val="center"/>
        <w:rPr>
          <w:rFonts w:ascii="Times New Roman" w:eastAsia="Times New Roman" w:hAnsi="Times New Roman" w:cs="Times New Roman"/>
          <w:b/>
          <w:bCs/>
          <w:sz w:val="24"/>
          <w:szCs w:val="24"/>
          <w:lang w:val="ro-MD"/>
        </w:rPr>
      </w:pPr>
      <w:r w:rsidRPr="00A718BE">
        <w:rPr>
          <w:rFonts w:ascii="Times New Roman" w:eastAsia="Times New Roman" w:hAnsi="Times New Roman" w:cs="Times New Roman"/>
          <w:b/>
          <w:bCs/>
          <w:sz w:val="24"/>
          <w:szCs w:val="24"/>
          <w:lang w:val="ro-MD"/>
        </w:rPr>
        <w:t xml:space="preserve">Capitolul </w:t>
      </w:r>
      <w:r>
        <w:rPr>
          <w:rFonts w:ascii="Times New Roman" w:eastAsia="Times New Roman" w:hAnsi="Times New Roman" w:cs="Times New Roman"/>
          <w:b/>
          <w:bCs/>
          <w:sz w:val="24"/>
          <w:szCs w:val="24"/>
          <w:lang w:val="ro-MD"/>
        </w:rPr>
        <w:t>V</w:t>
      </w:r>
    </w:p>
    <w:p w14:paraId="4906B175" w14:textId="39D60097" w:rsidR="00A76356" w:rsidRDefault="00A76356" w:rsidP="004A4E82">
      <w:pPr>
        <w:pStyle w:val="Default"/>
        <w:ind w:firstLine="567"/>
        <w:jc w:val="center"/>
        <w:rPr>
          <w:b/>
          <w:bCs/>
        </w:rPr>
      </w:pPr>
      <w:r>
        <w:rPr>
          <w:b/>
          <w:bCs/>
        </w:rPr>
        <w:t>Metoda  expunerii ini</w:t>
      </w:r>
      <w:r w:rsidR="005375A9">
        <w:rPr>
          <w:b/>
          <w:bCs/>
        </w:rPr>
        <w:t>ț</w:t>
      </w:r>
      <w:r>
        <w:rPr>
          <w:b/>
          <w:bCs/>
        </w:rPr>
        <w:t>iale</w:t>
      </w:r>
    </w:p>
    <w:p w14:paraId="36D429B2" w14:textId="4E2867E0" w:rsidR="005375A9" w:rsidRDefault="005375A9" w:rsidP="004A4E82">
      <w:pPr>
        <w:pStyle w:val="CM4"/>
        <w:spacing w:before="60" w:after="60"/>
        <w:ind w:firstLine="567"/>
        <w:jc w:val="center"/>
        <w:rPr>
          <w:i/>
          <w:iCs/>
          <w:color w:val="000000"/>
        </w:rPr>
      </w:pPr>
      <w:r w:rsidRPr="009819FD">
        <w:rPr>
          <w:i/>
          <w:iCs/>
          <w:color w:val="000000"/>
        </w:rPr>
        <w:t xml:space="preserve">Secțiunea </w:t>
      </w:r>
      <w:r>
        <w:rPr>
          <w:i/>
          <w:iCs/>
          <w:color w:val="000000"/>
        </w:rPr>
        <w:t xml:space="preserve">1 </w:t>
      </w:r>
    </w:p>
    <w:p w14:paraId="7F706264" w14:textId="77777777" w:rsidR="00354DDA" w:rsidRPr="00CA27C5" w:rsidRDefault="00354DDA" w:rsidP="004A4E82">
      <w:pPr>
        <w:pStyle w:val="Default"/>
        <w:ind w:firstLine="567"/>
        <w:jc w:val="center"/>
        <w:rPr>
          <w:b/>
          <w:bCs/>
        </w:rPr>
      </w:pPr>
      <w:r w:rsidRPr="00CA27C5">
        <w:rPr>
          <w:b/>
          <w:bCs/>
        </w:rPr>
        <w:t>Calculul valorii expunerii</w:t>
      </w:r>
    </w:p>
    <w:p w14:paraId="157B9350" w14:textId="568441AB" w:rsidR="00354DDA" w:rsidRDefault="00E45F4D" w:rsidP="004A4E82">
      <w:pPr>
        <w:pStyle w:val="Default"/>
        <w:ind w:firstLine="567"/>
        <w:jc w:val="both"/>
      </w:pPr>
      <w:r>
        <w:rPr>
          <w:b/>
          <w:bCs/>
        </w:rPr>
        <w:t>8</w:t>
      </w:r>
      <w:r w:rsidR="004B1CE6">
        <w:rPr>
          <w:b/>
          <w:bCs/>
        </w:rPr>
        <w:t>6</w:t>
      </w:r>
      <w:r w:rsidR="005375A9" w:rsidRPr="00CA27C5">
        <w:rPr>
          <w:b/>
          <w:bCs/>
        </w:rPr>
        <w:t>.</w:t>
      </w:r>
      <w:r w:rsidR="00354DDA">
        <w:t xml:space="preserve"> </w:t>
      </w:r>
      <w:r w:rsidR="005375A9">
        <w:t>Băncile</w:t>
      </w:r>
      <w:r w:rsidR="00354DDA">
        <w:t xml:space="preserve"> pot calcula o singură valoare a expunerii pentru toate tranzacţiile care fac obiectul unui acord de compensare contractuală în cazul în care sunt îndeplinite toate condiţiile prevăzute la </w:t>
      </w:r>
      <w:r w:rsidR="0048510B">
        <w:t>punctul 30.</w:t>
      </w:r>
      <w:r w:rsidR="00354DDA">
        <w:t xml:space="preserve"> În caz contrar,</w:t>
      </w:r>
      <w:r w:rsidR="004C5B2D">
        <w:t xml:space="preserve"> băncile</w:t>
      </w:r>
      <w:r w:rsidR="00354DDA">
        <w:t xml:space="preserve"> calculează separat câte o valoare a expunerii pentru fiecare tranzacţie, care este tratată ca fiind propriul set de compensare. </w:t>
      </w:r>
    </w:p>
    <w:p w14:paraId="40CF16A4" w14:textId="6B09C028" w:rsidR="00354DDA" w:rsidRDefault="00E45F4D" w:rsidP="004A4E82">
      <w:pPr>
        <w:pStyle w:val="Default"/>
        <w:ind w:firstLine="567"/>
        <w:jc w:val="both"/>
      </w:pPr>
      <w:r>
        <w:rPr>
          <w:b/>
          <w:bCs/>
        </w:rPr>
        <w:t>8</w:t>
      </w:r>
      <w:r w:rsidR="004B1CE6">
        <w:rPr>
          <w:b/>
          <w:bCs/>
        </w:rPr>
        <w:t>7</w:t>
      </w:r>
      <w:r w:rsidR="004C5B2D" w:rsidRPr="00CA27C5">
        <w:rPr>
          <w:b/>
          <w:bCs/>
        </w:rPr>
        <w:t>.</w:t>
      </w:r>
      <w:r w:rsidR="00354DDA">
        <w:t xml:space="preserve"> Valoarea expunerii unui set de compensare sau a unei tranzacţii este suma dintre costul de înlocuire curent și expunerea viitoare potenţială, înmulţită cu 1,4. </w:t>
      </w:r>
    </w:p>
    <w:p w14:paraId="7AD6D1E0" w14:textId="4D3EBB4E" w:rsidR="006F1670" w:rsidRDefault="00E45F4D" w:rsidP="004A4E82">
      <w:pPr>
        <w:pStyle w:val="Default"/>
        <w:ind w:firstLine="567"/>
        <w:jc w:val="both"/>
      </w:pPr>
      <w:r w:rsidRPr="00CA27C5">
        <w:rPr>
          <w:b/>
          <w:bCs/>
        </w:rPr>
        <w:t>8</w:t>
      </w:r>
      <w:r w:rsidR="004B1CE6">
        <w:rPr>
          <w:b/>
          <w:bCs/>
        </w:rPr>
        <w:t>8</w:t>
      </w:r>
      <w:r w:rsidR="004C5B2D" w:rsidRPr="00CA27C5">
        <w:rPr>
          <w:b/>
          <w:bCs/>
        </w:rPr>
        <w:t>.</w:t>
      </w:r>
      <w:r w:rsidR="00354DDA">
        <w:t xml:space="preserve"> </w:t>
      </w:r>
      <w:r w:rsidR="006F1670">
        <w:t>Î</w:t>
      </w:r>
      <w:r w:rsidR="006F1670" w:rsidRPr="006F1670">
        <w:t>n cazul seturi</w:t>
      </w:r>
      <w:r w:rsidR="00082CBD">
        <w:t>lor</w:t>
      </w:r>
      <w:r w:rsidR="006F1670" w:rsidRPr="006F1670">
        <w:t xml:space="preserve"> de compensare sau tranzacţii</w:t>
      </w:r>
      <w:r w:rsidR="00082CBD">
        <w:t>lor</w:t>
      </w:r>
      <w:r w:rsidR="006F1670" w:rsidRPr="006F1670">
        <w:t xml:space="preserve"> individuale</w:t>
      </w:r>
      <w:r w:rsidR="006F1670">
        <w:t>,</w:t>
      </w:r>
      <w:r w:rsidR="006F1670" w:rsidRPr="006F1670">
        <w:t xml:space="preserve"> </w:t>
      </w:r>
      <w:r w:rsidR="006F1670">
        <w:t>c</w:t>
      </w:r>
      <w:r w:rsidR="00354DDA">
        <w:t xml:space="preserve">ostul de înlocuire curent menţionat la </w:t>
      </w:r>
      <w:r w:rsidR="004C5B2D">
        <w:t xml:space="preserve">punctul </w:t>
      </w:r>
      <w:r w:rsidR="00714F6C">
        <w:t xml:space="preserve">87 </w:t>
      </w:r>
      <w:r w:rsidR="00354DDA">
        <w:t xml:space="preserve">se calculează după </w:t>
      </w:r>
      <w:r w:rsidR="006F1670">
        <w:t>următoarea formulă:</w:t>
      </w:r>
    </w:p>
    <w:p w14:paraId="17688AE0" w14:textId="145C9D0D" w:rsidR="00E45F4D" w:rsidRDefault="00E45F4D" w:rsidP="004A4E82">
      <w:pPr>
        <w:pStyle w:val="Default"/>
        <w:ind w:firstLine="567"/>
        <w:jc w:val="both"/>
      </w:pPr>
    </w:p>
    <w:p w14:paraId="2CC43CA4" w14:textId="480B6741" w:rsidR="00354DDA" w:rsidRDefault="00354DDA" w:rsidP="006F1670">
      <w:pPr>
        <w:pStyle w:val="Default"/>
        <w:ind w:firstLine="567"/>
        <w:jc w:val="both"/>
      </w:pPr>
      <w:r>
        <w:t xml:space="preserve"> </w:t>
      </w:r>
    </w:p>
    <w:p w14:paraId="7F572D6D" w14:textId="567C0082" w:rsidR="00354DDA" w:rsidRDefault="00354DDA" w:rsidP="004A4E82">
      <w:pPr>
        <w:pStyle w:val="Default"/>
        <w:ind w:firstLine="567"/>
        <w:jc w:val="center"/>
      </w:pPr>
      <w:r>
        <w:t>RC = max{CMV, 0}</w:t>
      </w:r>
    </w:p>
    <w:p w14:paraId="4E76A43C" w14:textId="77777777" w:rsidR="00354DDA" w:rsidRDefault="00354DDA" w:rsidP="004A4E82">
      <w:pPr>
        <w:pStyle w:val="Default"/>
        <w:ind w:firstLine="567"/>
        <w:jc w:val="both"/>
      </w:pPr>
      <w:r>
        <w:t xml:space="preserve">unde: </w:t>
      </w:r>
    </w:p>
    <w:p w14:paraId="38877288" w14:textId="77777777" w:rsidR="00354DDA" w:rsidRDefault="00354DDA" w:rsidP="004A4E82">
      <w:pPr>
        <w:pStyle w:val="Default"/>
        <w:ind w:firstLine="567"/>
        <w:jc w:val="both"/>
      </w:pPr>
      <w:r>
        <w:t xml:space="preserve">RC = costul de înlocuire; și </w:t>
      </w:r>
    </w:p>
    <w:p w14:paraId="3F4191FD" w14:textId="77777777" w:rsidR="00354DDA" w:rsidRDefault="00354DDA" w:rsidP="004A4E82">
      <w:pPr>
        <w:pStyle w:val="Default"/>
        <w:ind w:firstLine="567"/>
        <w:jc w:val="both"/>
      </w:pPr>
      <w:r>
        <w:t xml:space="preserve">CMV = valoarea de piaţă curentă. </w:t>
      </w:r>
    </w:p>
    <w:p w14:paraId="518A74CB" w14:textId="5B9F4B28" w:rsidR="00354DDA" w:rsidRDefault="00354DDA" w:rsidP="004A4E82">
      <w:pPr>
        <w:pStyle w:val="Default"/>
        <w:ind w:firstLine="567"/>
        <w:jc w:val="both"/>
      </w:pPr>
      <w:r>
        <w:t xml:space="preserve">Pentru a calcula costul de înlocuire curent, </w:t>
      </w:r>
      <w:r w:rsidR="009714B2">
        <w:t>băncile</w:t>
      </w:r>
      <w:r>
        <w:t xml:space="preserve"> actualizează valoarea de piaţă curentă cel puţin lunar. </w:t>
      </w:r>
    </w:p>
    <w:p w14:paraId="47AF8070" w14:textId="0BB5F561" w:rsidR="00354DDA" w:rsidRDefault="00E45F4D" w:rsidP="004A4E82">
      <w:pPr>
        <w:pStyle w:val="Default"/>
        <w:ind w:firstLine="567"/>
        <w:jc w:val="both"/>
      </w:pPr>
      <w:r>
        <w:rPr>
          <w:b/>
          <w:bCs/>
        </w:rPr>
        <w:t>8</w:t>
      </w:r>
      <w:r w:rsidR="004B1CE6">
        <w:rPr>
          <w:b/>
          <w:bCs/>
        </w:rPr>
        <w:t>9</w:t>
      </w:r>
      <w:r w:rsidR="009714B2" w:rsidRPr="00CA27C5">
        <w:rPr>
          <w:b/>
          <w:bCs/>
        </w:rPr>
        <w:t>.</w:t>
      </w:r>
      <w:r w:rsidR="00354DDA">
        <w:t xml:space="preserve"> </w:t>
      </w:r>
      <w:r w:rsidR="009714B2">
        <w:t>Băncile</w:t>
      </w:r>
      <w:r w:rsidR="00354DDA">
        <w:t xml:space="preserve"> calculează expunerea viitoare potenţială menţionată la </w:t>
      </w:r>
      <w:r w:rsidR="009714B2">
        <w:t xml:space="preserve">punctul </w:t>
      </w:r>
      <w:r w:rsidR="006F1670">
        <w:t xml:space="preserve">87 </w:t>
      </w:r>
      <w:r w:rsidR="00354DDA">
        <w:t xml:space="preserve">după cum urmează: </w:t>
      </w:r>
    </w:p>
    <w:p w14:paraId="32DF29B9" w14:textId="7ED34534" w:rsidR="00354DDA" w:rsidRDefault="00E45F4D" w:rsidP="004A4E82">
      <w:pPr>
        <w:pStyle w:val="Default"/>
        <w:ind w:firstLine="567"/>
        <w:jc w:val="both"/>
      </w:pPr>
      <w:r>
        <w:t>1</w:t>
      </w:r>
      <w:r w:rsidR="00354DDA">
        <w:t>) expunerea viitoare potenţială a unui set de compensare este suma expunerilor viitoare potenţiale ale tuturor tranzacţiilor incluse în setul de compensare, calculate în conformitate cu</w:t>
      </w:r>
      <w:r w:rsidR="00EC2F16">
        <w:t xml:space="preserve"> subpunctul 2)</w:t>
      </w:r>
      <w:r w:rsidR="00354DDA">
        <w:t>;</w:t>
      </w:r>
    </w:p>
    <w:p w14:paraId="36505A4D" w14:textId="265F5DAF" w:rsidR="00354DDA" w:rsidRDefault="00E45F4D" w:rsidP="004A4E82">
      <w:pPr>
        <w:pStyle w:val="Default"/>
        <w:ind w:firstLine="567"/>
        <w:jc w:val="both"/>
      </w:pPr>
      <w:r>
        <w:t>2</w:t>
      </w:r>
      <w:r w:rsidR="00354DDA">
        <w:t xml:space="preserve">) expunerea viitoare potenţială a unei singure tranzacţii este valoarea noţională a acesteia înmulţită cu: </w:t>
      </w:r>
    </w:p>
    <w:p w14:paraId="43A50960" w14:textId="353FF2B0" w:rsidR="00354DDA" w:rsidRDefault="00E45F4D" w:rsidP="004A4E82">
      <w:pPr>
        <w:pStyle w:val="Default"/>
        <w:ind w:firstLine="567"/>
        <w:jc w:val="both"/>
      </w:pPr>
      <w:r>
        <w:t>a</w:t>
      </w:r>
      <w:r w:rsidR="00354DDA">
        <w:t xml:space="preserve">) scadenţa reziduală a tranzacţiei exprimată în ani pentru contractele derivate pe rata dobânzii, înmulţită cu 0,5 %; </w:t>
      </w:r>
    </w:p>
    <w:p w14:paraId="2D6573B4" w14:textId="7717DE20" w:rsidR="00354DDA" w:rsidRDefault="00E45F4D" w:rsidP="004A4E82">
      <w:pPr>
        <w:pStyle w:val="Default"/>
        <w:ind w:firstLine="567"/>
        <w:jc w:val="both"/>
      </w:pPr>
      <w:r>
        <w:t>b</w:t>
      </w:r>
      <w:r w:rsidR="00354DDA">
        <w:t xml:space="preserve">) scadenţa reziduală a tranzacţiei exprimată în ani pentru contractele derivate de credit, înmulţită cu 6 %; </w:t>
      </w:r>
    </w:p>
    <w:p w14:paraId="28149357" w14:textId="147CD910" w:rsidR="00354DDA" w:rsidRDefault="00E45F4D" w:rsidP="004A4E82">
      <w:pPr>
        <w:pStyle w:val="Default"/>
        <w:ind w:firstLine="567"/>
        <w:jc w:val="both"/>
      </w:pPr>
      <w:r>
        <w:t>c</w:t>
      </w:r>
      <w:r w:rsidR="00354DDA">
        <w:t xml:space="preserve">) 4 % pentru instrumentele financiare derivate pe cursul de schimb valutar; </w:t>
      </w:r>
    </w:p>
    <w:p w14:paraId="38652701" w14:textId="2BCC0D29" w:rsidR="00354DDA" w:rsidRDefault="00E45F4D" w:rsidP="004A4E82">
      <w:pPr>
        <w:pStyle w:val="Default"/>
        <w:ind w:firstLine="567"/>
        <w:jc w:val="both"/>
      </w:pPr>
      <w:r>
        <w:t>d</w:t>
      </w:r>
      <w:r w:rsidR="00354DDA">
        <w:t xml:space="preserve">) 18 % pentru instrumentele financiare derivate pe aur și mărfuri, altele decât instrumentele financiare derivate pe energie electrică; </w:t>
      </w:r>
    </w:p>
    <w:p w14:paraId="1B962642" w14:textId="769CB6B7" w:rsidR="00354DDA" w:rsidRDefault="00E45F4D" w:rsidP="004A4E82">
      <w:pPr>
        <w:pStyle w:val="Default"/>
        <w:ind w:firstLine="567"/>
        <w:jc w:val="both"/>
      </w:pPr>
      <w:r>
        <w:t>e</w:t>
      </w:r>
      <w:r w:rsidR="00354DDA">
        <w:t xml:space="preserve">) 40 % pentru instrumentele financiare derivate pe energie electrică; </w:t>
      </w:r>
    </w:p>
    <w:p w14:paraId="6A468419" w14:textId="7F93A94F" w:rsidR="00354DDA" w:rsidRDefault="00E45F4D" w:rsidP="004A4E82">
      <w:pPr>
        <w:pStyle w:val="Default"/>
        <w:ind w:firstLine="567"/>
        <w:jc w:val="both"/>
      </w:pPr>
      <w:r>
        <w:t>f</w:t>
      </w:r>
      <w:r w:rsidR="00354DDA">
        <w:t xml:space="preserve">) 32 % pentru instrumentele financiare derivate pe titluri de capital; </w:t>
      </w:r>
    </w:p>
    <w:p w14:paraId="2E468FEB" w14:textId="49A8EAC1" w:rsidR="00354DDA" w:rsidRDefault="00E45F4D" w:rsidP="004A4E82">
      <w:pPr>
        <w:pStyle w:val="Default"/>
        <w:ind w:firstLine="567"/>
        <w:jc w:val="both"/>
      </w:pPr>
      <w:r>
        <w:t>3</w:t>
      </w:r>
      <w:r w:rsidR="00354DDA">
        <w:t xml:space="preserve">) valoarea noţională menţionată la </w:t>
      </w:r>
      <w:r w:rsidR="00697647">
        <w:t>su</w:t>
      </w:r>
      <w:r w:rsidR="00597D47">
        <w:t>b</w:t>
      </w:r>
      <w:r w:rsidR="00697647">
        <w:t>punctul 2)</w:t>
      </w:r>
      <w:r w:rsidR="00354DDA">
        <w:t xml:space="preserve"> de la prezentul </w:t>
      </w:r>
      <w:r w:rsidR="009714B2">
        <w:t>punct</w:t>
      </w:r>
      <w:r w:rsidR="00354DDA">
        <w:t xml:space="preserve"> se determină în conformitate cu </w:t>
      </w:r>
      <w:r w:rsidR="0048510B">
        <w:t>punctele 58 și 59</w:t>
      </w:r>
      <w:r w:rsidR="00354DDA">
        <w:t xml:space="preserve"> pentru toate instrumentele financiare derivate enumerate la </w:t>
      </w:r>
      <w:r w:rsidR="00697647">
        <w:t xml:space="preserve">subpunctul </w:t>
      </w:r>
      <w:r w:rsidR="00354DDA">
        <w:t xml:space="preserve">respectiv; în plus, valoarea noţională a instrumentelor financiare derivate menţionate la </w:t>
      </w:r>
      <w:r w:rsidR="00697647">
        <w:t>subpunctul 2)</w:t>
      </w:r>
      <w:r w:rsidR="00354DDA">
        <w:t xml:space="preserve"> </w:t>
      </w:r>
      <w:r w:rsidR="00697647">
        <w:t>literele c) – f)</w:t>
      </w:r>
      <w:r w:rsidR="00354DDA">
        <w:t xml:space="preserve"> se determină în conformitate cu </w:t>
      </w:r>
      <w:r w:rsidR="0048510B" w:rsidRPr="00CA27C5">
        <w:t>punctul 57 subpunctele 2)  și 3)</w:t>
      </w:r>
      <w:r w:rsidR="00354DDA" w:rsidRPr="0048510B">
        <w:t>;</w:t>
      </w:r>
      <w:r w:rsidR="00354DDA">
        <w:t xml:space="preserve"> </w:t>
      </w:r>
    </w:p>
    <w:p w14:paraId="640C063B" w14:textId="2D95370B" w:rsidR="00354DDA" w:rsidRDefault="00E45F4D" w:rsidP="004A4E82">
      <w:pPr>
        <w:pStyle w:val="Default"/>
        <w:ind w:firstLine="567"/>
        <w:jc w:val="both"/>
      </w:pPr>
      <w:r>
        <w:t>4</w:t>
      </w:r>
      <w:r w:rsidR="00354DDA">
        <w:t xml:space="preserve">) expunerea viitoare potenţială a seturilor de compensare menţionate la </w:t>
      </w:r>
      <w:r w:rsidR="009714B2">
        <w:t xml:space="preserve">punctul </w:t>
      </w:r>
      <w:r w:rsidR="0048510B">
        <w:t>88 subpunctul 1)</w:t>
      </w:r>
      <w:r w:rsidR="00354DDA">
        <w:t xml:space="preserve"> se înmulţește cu 0,42. </w:t>
      </w:r>
    </w:p>
    <w:p w14:paraId="11207C50" w14:textId="43EF916A" w:rsidR="00354DDA" w:rsidRPr="00354DDA" w:rsidRDefault="00354DDA" w:rsidP="004A4E82">
      <w:pPr>
        <w:pStyle w:val="Default"/>
        <w:ind w:firstLine="567"/>
        <w:jc w:val="both"/>
      </w:pPr>
      <w:r>
        <w:lastRenderedPageBreak/>
        <w:t xml:space="preserve">Pentru a calcula expunerea potenţială a instrumentelor financiare derivate pe rata dobânzii și a instrumentelor financiare derivate de credit în conformitate cu </w:t>
      </w:r>
      <w:r w:rsidR="00EC2F16">
        <w:t xml:space="preserve">subpunctul 2) </w:t>
      </w:r>
      <w:r>
        <w:t xml:space="preserve">litera </w:t>
      </w:r>
      <w:r w:rsidR="00EC2F16">
        <w:t xml:space="preserve">a) </w:t>
      </w:r>
      <w:r>
        <w:t xml:space="preserve">și </w:t>
      </w:r>
      <w:r w:rsidR="00EC2F16">
        <w:t>b</w:t>
      </w:r>
      <w:r>
        <w:t xml:space="preserve">), o </w:t>
      </w:r>
      <w:r w:rsidR="009714B2">
        <w:t>bancă</w:t>
      </w:r>
      <w:r>
        <w:t xml:space="preserve"> poate alege să utilizeze scadenţa iniţială în loc de scadenţa reziduală a contractelor. </w:t>
      </w:r>
    </w:p>
    <w:bookmarkEnd w:id="2"/>
    <w:p w14:paraId="72B606C2" w14:textId="49528CD2" w:rsidR="00A718BE" w:rsidRPr="00A718BE"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Capitolul V</w:t>
      </w:r>
      <w:r w:rsidR="004767B0">
        <w:rPr>
          <w:rFonts w:ascii="Times New Roman" w:eastAsia="Times New Roman" w:hAnsi="Times New Roman" w:cs="Times New Roman"/>
          <w:b/>
          <w:bCs/>
          <w:sz w:val="24"/>
          <w:szCs w:val="24"/>
          <w:lang w:val="ro-MD"/>
        </w:rPr>
        <w:t>I</w:t>
      </w:r>
    </w:p>
    <w:p w14:paraId="4C2E2C00" w14:textId="77777777" w:rsidR="00A718BE" w:rsidRPr="00A718BE"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COMPENSAREA CONTRACTUALĂ</w:t>
      </w:r>
    </w:p>
    <w:p w14:paraId="0FD0818B" w14:textId="77777777" w:rsidR="00A718BE" w:rsidRPr="001066E6"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1066E6">
        <w:rPr>
          <w:rFonts w:ascii="Times New Roman" w:eastAsia="Times New Roman" w:hAnsi="Times New Roman" w:cs="Times New Roman"/>
          <w:bCs/>
          <w:i/>
          <w:iCs/>
          <w:sz w:val="24"/>
          <w:szCs w:val="24"/>
          <w:lang w:val="ro-MD"/>
        </w:rPr>
        <w:t>Secţiunea 1</w:t>
      </w:r>
    </w:p>
    <w:p w14:paraId="4D0660ED" w14:textId="77777777" w:rsidR="00A718BE" w:rsidRPr="0042700C" w:rsidRDefault="00A718BE" w:rsidP="004A4E82">
      <w:pPr>
        <w:spacing w:after="0" w:line="240" w:lineRule="auto"/>
        <w:ind w:firstLine="567"/>
        <w:jc w:val="center"/>
        <w:rPr>
          <w:rFonts w:ascii="Times New Roman" w:eastAsia="Times New Roman" w:hAnsi="Times New Roman" w:cs="Times New Roman"/>
          <w:b/>
          <w:bCs/>
          <w:sz w:val="24"/>
          <w:szCs w:val="24"/>
          <w:lang w:val="ro-MD"/>
        </w:rPr>
      </w:pPr>
      <w:r w:rsidRPr="0042700C">
        <w:rPr>
          <w:rFonts w:ascii="Times New Roman" w:eastAsia="Times New Roman" w:hAnsi="Times New Roman" w:cs="Times New Roman"/>
          <w:b/>
          <w:bCs/>
          <w:sz w:val="24"/>
          <w:szCs w:val="24"/>
          <w:lang w:val="ro-MD"/>
        </w:rPr>
        <w:t>Recunoaşterea compensării contractuale ca diminuatoare de risc</w:t>
      </w:r>
    </w:p>
    <w:p w14:paraId="08C13D1E" w14:textId="17824DD2"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0</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Băncile tratează numai următoarele tipuri de acorduri de compensare contractuală ca fiind diminuatoare de risc în conformitate cu secţiunea </w:t>
      </w:r>
      <w:r w:rsidR="0099409E">
        <w:rPr>
          <w:rFonts w:ascii="Times New Roman" w:eastAsia="Times New Roman" w:hAnsi="Times New Roman" w:cs="Times New Roman"/>
          <w:sz w:val="24"/>
          <w:szCs w:val="24"/>
          <w:lang w:val="ro-MD"/>
        </w:rPr>
        <w:t xml:space="preserve">a </w:t>
      </w:r>
      <w:r w:rsidR="00A718BE" w:rsidRPr="00A718BE">
        <w:rPr>
          <w:rFonts w:ascii="Times New Roman" w:eastAsia="Times New Roman" w:hAnsi="Times New Roman" w:cs="Times New Roman"/>
          <w:sz w:val="24"/>
          <w:szCs w:val="24"/>
          <w:lang w:val="ro-MD"/>
        </w:rPr>
        <w:t>4</w:t>
      </w:r>
      <w:r w:rsidR="0099409E">
        <w:rPr>
          <w:rFonts w:ascii="Times New Roman" w:eastAsia="Times New Roman" w:hAnsi="Times New Roman" w:cs="Times New Roman"/>
          <w:sz w:val="24"/>
          <w:szCs w:val="24"/>
          <w:lang w:val="ro-MD"/>
        </w:rPr>
        <w:t>-a</w:t>
      </w:r>
      <w:r w:rsidR="00A718BE" w:rsidRPr="00A718BE">
        <w:rPr>
          <w:rFonts w:ascii="Times New Roman" w:eastAsia="Times New Roman" w:hAnsi="Times New Roman" w:cs="Times New Roman"/>
          <w:sz w:val="24"/>
          <w:szCs w:val="24"/>
          <w:lang w:val="ro-MD"/>
        </w:rPr>
        <w:t xml:space="preserve"> din prezentul capitol, dacă acordul de compensare a fost recunoscut de Banca Naţională a Moldovei în conformitate cu secţiunea </w:t>
      </w:r>
      <w:r w:rsidR="0099409E">
        <w:rPr>
          <w:rFonts w:ascii="Times New Roman" w:eastAsia="Times New Roman" w:hAnsi="Times New Roman" w:cs="Times New Roman"/>
          <w:sz w:val="24"/>
          <w:szCs w:val="24"/>
          <w:lang w:val="ro-MD"/>
        </w:rPr>
        <w:t xml:space="preserve">a </w:t>
      </w:r>
      <w:r w:rsidR="00A718BE" w:rsidRPr="00A718BE">
        <w:rPr>
          <w:rFonts w:ascii="Times New Roman" w:eastAsia="Times New Roman" w:hAnsi="Times New Roman" w:cs="Times New Roman"/>
          <w:sz w:val="24"/>
          <w:szCs w:val="24"/>
          <w:lang w:val="ro-MD"/>
        </w:rPr>
        <w:t>2</w:t>
      </w:r>
      <w:r w:rsidR="0099409E">
        <w:rPr>
          <w:rFonts w:ascii="Times New Roman" w:eastAsia="Times New Roman" w:hAnsi="Times New Roman" w:cs="Times New Roman"/>
          <w:sz w:val="24"/>
          <w:szCs w:val="24"/>
          <w:lang w:val="ro-MD"/>
        </w:rPr>
        <w:t>-a</w:t>
      </w:r>
      <w:r w:rsidR="00A718BE" w:rsidRPr="00A718BE">
        <w:rPr>
          <w:rFonts w:ascii="Times New Roman" w:eastAsia="Times New Roman" w:hAnsi="Times New Roman" w:cs="Times New Roman"/>
          <w:sz w:val="24"/>
          <w:szCs w:val="24"/>
          <w:lang w:val="ro-MD"/>
        </w:rPr>
        <w:t xml:space="preserve"> din prezentul capitol şi dacă banca îndeplineşte cerinţele stabilite la secţiunea </w:t>
      </w:r>
      <w:r w:rsidR="0099409E">
        <w:rPr>
          <w:rFonts w:ascii="Times New Roman" w:eastAsia="Times New Roman" w:hAnsi="Times New Roman" w:cs="Times New Roman"/>
          <w:sz w:val="24"/>
          <w:szCs w:val="24"/>
          <w:lang w:val="ro-MD"/>
        </w:rPr>
        <w:t xml:space="preserve">a </w:t>
      </w:r>
      <w:r w:rsidR="00A718BE" w:rsidRPr="00A718BE">
        <w:rPr>
          <w:rFonts w:ascii="Times New Roman" w:eastAsia="Times New Roman" w:hAnsi="Times New Roman" w:cs="Times New Roman"/>
          <w:sz w:val="24"/>
          <w:szCs w:val="24"/>
          <w:lang w:val="ro-MD"/>
        </w:rPr>
        <w:t>3</w:t>
      </w:r>
      <w:r w:rsidR="0099409E">
        <w:rPr>
          <w:rFonts w:ascii="Times New Roman" w:eastAsia="Times New Roman" w:hAnsi="Times New Roman" w:cs="Times New Roman"/>
          <w:sz w:val="24"/>
          <w:szCs w:val="24"/>
          <w:lang w:val="ro-MD"/>
        </w:rPr>
        <w:t>-a</w:t>
      </w:r>
      <w:r w:rsidR="00A718BE" w:rsidRPr="00A718BE">
        <w:rPr>
          <w:rFonts w:ascii="Times New Roman" w:eastAsia="Times New Roman" w:hAnsi="Times New Roman" w:cs="Times New Roman"/>
          <w:sz w:val="24"/>
          <w:szCs w:val="24"/>
          <w:lang w:val="ro-MD"/>
        </w:rPr>
        <w:t xml:space="preserve"> din prezentul capitol:</w:t>
      </w:r>
    </w:p>
    <w:p w14:paraId="78525347"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1) contractele bilaterale de novaţie între bancă şi contrapartea sa, în temeiul cărora creanţele şi datoriile reciproce sunt automat comasate în aşa fel încât novaţia stabileşte, de fiecare dată când se aplică, o singură sumă netă astfel încât să creeze un singur contract nou care înlocuieşte toate contractele anterioare şi toate obligaţiile între părţi decurgând din aceste contracte şi care este obligatoriu pentru părţi;</w:t>
      </w:r>
    </w:p>
    <w:p w14:paraId="0951D185"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2) alte contracte bilaterale (decât cele indicate la subpunctul 1)) între bancă şi contrapartea sa.</w:t>
      </w:r>
    </w:p>
    <w:p w14:paraId="731FEE51" w14:textId="44AD81C5" w:rsidR="00A718BE" w:rsidRPr="00A718BE" w:rsidRDefault="00E45F4D" w:rsidP="00006C2B">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1</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Compensarea tranzacţiilor efectuate de persoane juridice ale unui grup nu este recunoscută în scopul calculării cerinţelor de fonduri proprii.</w:t>
      </w:r>
    </w:p>
    <w:p w14:paraId="2B068001" w14:textId="22EE1ED3" w:rsidR="00A718BE" w:rsidRPr="001066E6" w:rsidRDefault="00A718BE" w:rsidP="004A4E82">
      <w:pPr>
        <w:spacing w:after="0" w:line="240" w:lineRule="auto"/>
        <w:ind w:firstLine="567"/>
        <w:jc w:val="center"/>
        <w:rPr>
          <w:rFonts w:ascii="Times New Roman" w:eastAsia="Times New Roman" w:hAnsi="Times New Roman" w:cs="Times New Roman"/>
          <w:sz w:val="24"/>
          <w:szCs w:val="24"/>
          <w:lang w:val="ro-MD"/>
        </w:rPr>
      </w:pPr>
      <w:bookmarkStart w:id="4" w:name="_Hlk162995099"/>
      <w:r w:rsidRPr="001066E6">
        <w:rPr>
          <w:rFonts w:ascii="Times New Roman" w:eastAsia="Times New Roman" w:hAnsi="Times New Roman" w:cs="Times New Roman"/>
          <w:bCs/>
          <w:i/>
          <w:iCs/>
          <w:sz w:val="24"/>
          <w:szCs w:val="24"/>
          <w:lang w:val="ro-MD"/>
        </w:rPr>
        <w:t xml:space="preserve">Secţiunea </w:t>
      </w:r>
      <w:r w:rsidR="0099409E">
        <w:rPr>
          <w:rFonts w:ascii="Times New Roman" w:eastAsia="Times New Roman" w:hAnsi="Times New Roman" w:cs="Times New Roman"/>
          <w:bCs/>
          <w:i/>
          <w:iCs/>
          <w:sz w:val="24"/>
          <w:szCs w:val="24"/>
          <w:lang w:val="ro-MD"/>
        </w:rPr>
        <w:t xml:space="preserve">a </w:t>
      </w:r>
      <w:r w:rsidRPr="001066E6">
        <w:rPr>
          <w:rFonts w:ascii="Times New Roman" w:eastAsia="Times New Roman" w:hAnsi="Times New Roman" w:cs="Times New Roman"/>
          <w:bCs/>
          <w:i/>
          <w:iCs/>
          <w:sz w:val="24"/>
          <w:szCs w:val="24"/>
          <w:lang w:val="ro-MD"/>
        </w:rPr>
        <w:t>2</w:t>
      </w:r>
      <w:r w:rsidR="0099409E">
        <w:rPr>
          <w:rFonts w:ascii="Times New Roman" w:eastAsia="Times New Roman" w:hAnsi="Times New Roman" w:cs="Times New Roman"/>
          <w:bCs/>
          <w:i/>
          <w:iCs/>
          <w:sz w:val="24"/>
          <w:szCs w:val="24"/>
          <w:lang w:val="ro-MD"/>
        </w:rPr>
        <w:t>-a</w:t>
      </w:r>
    </w:p>
    <w:bookmarkEnd w:id="4"/>
    <w:p w14:paraId="33697377" w14:textId="77777777" w:rsidR="00A718BE" w:rsidRPr="0042700C" w:rsidRDefault="00A718BE" w:rsidP="004A4E82">
      <w:pPr>
        <w:spacing w:after="0" w:line="240" w:lineRule="auto"/>
        <w:ind w:firstLine="567"/>
        <w:jc w:val="center"/>
        <w:rPr>
          <w:rFonts w:ascii="Times New Roman" w:eastAsia="Times New Roman" w:hAnsi="Times New Roman" w:cs="Times New Roman"/>
          <w:b/>
          <w:bCs/>
          <w:sz w:val="24"/>
          <w:szCs w:val="24"/>
          <w:lang w:val="ro-MD"/>
        </w:rPr>
      </w:pPr>
      <w:r w:rsidRPr="0042700C">
        <w:rPr>
          <w:rFonts w:ascii="Times New Roman" w:eastAsia="Times New Roman" w:hAnsi="Times New Roman" w:cs="Times New Roman"/>
          <w:b/>
          <w:bCs/>
          <w:sz w:val="24"/>
          <w:szCs w:val="24"/>
          <w:lang w:val="ro-MD"/>
        </w:rPr>
        <w:t>Recunoaşterea acordurilor de compensare contractuală</w:t>
      </w:r>
    </w:p>
    <w:p w14:paraId="6F7F728C" w14:textId="39972E88"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2</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Toate acordurile de compensare contractuală utilizate de bancă pentru a determina valoarea expunerii în cadrul acestei părţi trebuie să îndeplinească următoarele condiţii:</w:t>
      </w:r>
    </w:p>
    <w:p w14:paraId="075A484B"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1) banca a încheiat un acord de compensare contractuală cu contrapartea sa, care creează o singură obligaţie juridică acoperind toate tranzacţiile incluse, astfel încât în cazul în care contrapartea ar intra în stare de nerambursare, banca ar avea dreptul să primească sau ar fi obligată să plătească numai suma netă a valorilor pozitive şi negative marcate la piaţă ale tranzacţiilor individuale incluse;</w:t>
      </w:r>
    </w:p>
    <w:p w14:paraId="2D941A39"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2) banca dispune de opinii juridice scrise, fundamentate, în care se precizează că, în cazul contestării în instanţă a acordului de compensare, creanţele şi datoriile băncii nu ar depăşi cele menţionate la subpunctul 1).</w:t>
      </w:r>
    </w:p>
    <w:p w14:paraId="25BEC04B"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Opinia juridică trebuie să se refere la legislaţia aplicabilă:</w:t>
      </w:r>
    </w:p>
    <w:p w14:paraId="21E3D0F1"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a) în jurisdicţia în care este înregistrată contrapartea;</w:t>
      </w:r>
    </w:p>
    <w:p w14:paraId="3BD38345"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b) dacă este implicată o sucursală a unei contrapărţi, care este situată în altă ţară decât cea în care este înregistrată contrapartea, în jurisdicţia în care este situată sucursala;</w:t>
      </w:r>
    </w:p>
    <w:p w14:paraId="3C5FC01D"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c) în jurisdicţia a cărei legislaţie guvernează tranzacţiile individuale incluse în acordul de compensare;</w:t>
      </w:r>
    </w:p>
    <w:p w14:paraId="4059EE67"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d) în jurisdicţia a cărei legislaţie guvernează orice contract sau acord necesar efectuării compensării contractuale;</w:t>
      </w:r>
    </w:p>
    <w:p w14:paraId="551BC566"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3) riscul de credit faţă de fiecare contraparte este agregat pentru a obţine o singură expunere din punct de vedere juridic pentru toate tranzacţiile cu contrapartea respectivă. Această agregare trebuie să se ia în considerare pentru scopurile limitei de creditare şi ale capitalului intern;</w:t>
      </w:r>
    </w:p>
    <w:p w14:paraId="2570CE0C"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4) contractul nu conţine nicio clauză care, în cazul intrării unei contrapărţi în stare de nerambursare, permite unei contrapărţi care nu se află în stare de nerambursare să efectueze numai plăţi limitate sau să nu efectueze nicio plată în favoarea contrapărţii aflate în stare de nerambursare, chiar dacă aceasta din urmă este un creditor net.</w:t>
      </w:r>
    </w:p>
    <w:p w14:paraId="739D5CBA" w14:textId="7E109253"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lastRenderedPageBreak/>
        <w:t>9</w:t>
      </w:r>
      <w:r w:rsidR="004B1CE6">
        <w:rPr>
          <w:rFonts w:ascii="Times New Roman" w:eastAsia="Times New Roman" w:hAnsi="Times New Roman" w:cs="Times New Roman"/>
          <w:b/>
          <w:bCs/>
          <w:sz w:val="24"/>
          <w:szCs w:val="24"/>
          <w:lang w:val="ro-MD"/>
        </w:rPr>
        <w:t>3</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Dacă Banca Naţională a Moldovei, în cazul procesului de supraveghere, nu primeşte dovezi satisfăcătoare potrivit cărora este convinsă că compensarea contractuală este valabilă şi </w:t>
      </w:r>
      <w:r w:rsidR="00A718BE" w:rsidRPr="003E79EF">
        <w:rPr>
          <w:rFonts w:ascii="Times New Roman" w:eastAsia="Times New Roman" w:hAnsi="Times New Roman" w:cs="Times New Roman"/>
          <w:sz w:val="24"/>
          <w:szCs w:val="24"/>
          <w:lang w:val="ro-MD"/>
        </w:rPr>
        <w:t xml:space="preserve">executorie din punct de vedere juridic, în temeiul legislaţiei fiecăreia dintre jurisdicţiile menţionate la punctul </w:t>
      </w:r>
      <w:r w:rsidR="0062001B" w:rsidRPr="003E79EF">
        <w:rPr>
          <w:rFonts w:ascii="Times New Roman" w:eastAsia="Times New Roman" w:hAnsi="Times New Roman" w:cs="Times New Roman"/>
          <w:sz w:val="24"/>
          <w:szCs w:val="24"/>
          <w:lang w:val="ro-MD"/>
        </w:rPr>
        <w:t xml:space="preserve">92 </w:t>
      </w:r>
      <w:r w:rsidR="00A718BE" w:rsidRPr="003E79EF">
        <w:rPr>
          <w:rFonts w:ascii="Times New Roman" w:eastAsia="Times New Roman" w:hAnsi="Times New Roman" w:cs="Times New Roman"/>
          <w:sz w:val="24"/>
          <w:szCs w:val="24"/>
          <w:lang w:val="ro-MD"/>
        </w:rPr>
        <w:t>subpunctul 2), acordul de compensare contractuală nu este recunoscut ca diminuator de risc pentru niciuna dintre contrapărţi.</w:t>
      </w:r>
    </w:p>
    <w:p w14:paraId="76FB3883" w14:textId="0470673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 </w:t>
      </w:r>
      <w:r w:rsidR="003860B3" w:rsidRPr="003860B3">
        <w:rPr>
          <w:rFonts w:ascii="Times New Roman" w:eastAsia="Times New Roman" w:hAnsi="Times New Roman" w:cs="Times New Roman"/>
          <w:sz w:val="24"/>
          <w:szCs w:val="24"/>
          <w:lang w:val="ro-MD"/>
        </w:rPr>
        <w:t>Opiniile juridice menționate la punctul 92 subpunctul 2) pot fi redactate cu referire la tipurile de compensare contractuală.</w:t>
      </w:r>
    </w:p>
    <w:p w14:paraId="1EB3FDFE" w14:textId="3A163B07" w:rsidR="00A718BE" w:rsidRPr="001066E6"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1066E6">
        <w:rPr>
          <w:rFonts w:ascii="Times New Roman" w:eastAsia="Times New Roman" w:hAnsi="Times New Roman" w:cs="Times New Roman"/>
          <w:bCs/>
          <w:i/>
          <w:iCs/>
          <w:sz w:val="24"/>
          <w:szCs w:val="24"/>
          <w:lang w:val="ro-MD"/>
        </w:rPr>
        <w:t xml:space="preserve">Secţiunea </w:t>
      </w:r>
      <w:r w:rsidR="0099409E">
        <w:rPr>
          <w:rFonts w:ascii="Times New Roman" w:eastAsia="Times New Roman" w:hAnsi="Times New Roman" w:cs="Times New Roman"/>
          <w:bCs/>
          <w:i/>
          <w:iCs/>
          <w:sz w:val="24"/>
          <w:szCs w:val="24"/>
          <w:lang w:val="ro-MD"/>
        </w:rPr>
        <w:t xml:space="preserve">a </w:t>
      </w:r>
      <w:r w:rsidRPr="001066E6">
        <w:rPr>
          <w:rFonts w:ascii="Times New Roman" w:eastAsia="Times New Roman" w:hAnsi="Times New Roman" w:cs="Times New Roman"/>
          <w:bCs/>
          <w:i/>
          <w:iCs/>
          <w:sz w:val="24"/>
          <w:szCs w:val="24"/>
          <w:lang w:val="ro-MD"/>
        </w:rPr>
        <w:t>3</w:t>
      </w:r>
      <w:r w:rsidR="0099409E">
        <w:rPr>
          <w:rFonts w:ascii="Times New Roman" w:eastAsia="Times New Roman" w:hAnsi="Times New Roman" w:cs="Times New Roman"/>
          <w:bCs/>
          <w:i/>
          <w:iCs/>
          <w:sz w:val="24"/>
          <w:szCs w:val="24"/>
          <w:lang w:val="ro-MD"/>
        </w:rPr>
        <w:t>-a</w:t>
      </w:r>
    </w:p>
    <w:p w14:paraId="7A23AB3F" w14:textId="77777777" w:rsidR="00A718BE" w:rsidRPr="0042700C" w:rsidRDefault="00A718BE" w:rsidP="004A4E82">
      <w:pPr>
        <w:spacing w:after="0" w:line="240" w:lineRule="auto"/>
        <w:ind w:firstLine="567"/>
        <w:jc w:val="center"/>
        <w:rPr>
          <w:rFonts w:ascii="Times New Roman" w:eastAsia="Times New Roman" w:hAnsi="Times New Roman" w:cs="Times New Roman"/>
          <w:b/>
          <w:bCs/>
          <w:sz w:val="24"/>
          <w:szCs w:val="24"/>
          <w:lang w:val="ro-MD"/>
        </w:rPr>
      </w:pPr>
      <w:r w:rsidRPr="0042700C">
        <w:rPr>
          <w:rFonts w:ascii="Times New Roman" w:eastAsia="Times New Roman" w:hAnsi="Times New Roman" w:cs="Times New Roman"/>
          <w:b/>
          <w:bCs/>
          <w:sz w:val="24"/>
          <w:szCs w:val="24"/>
          <w:lang w:val="ro-MD"/>
        </w:rPr>
        <w:t>Obligaţiile băncilor</w:t>
      </w:r>
    </w:p>
    <w:p w14:paraId="456D9602" w14:textId="2C0DED42"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4</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Banca stabileşte şi menţine proceduri pentru a asigura reexaminarea, în cazul modificărilor legislaţiilor jurisdicţiilor relevante menţionate la punctul </w:t>
      </w:r>
      <w:r w:rsidR="0062001B">
        <w:rPr>
          <w:rFonts w:ascii="Times New Roman" w:eastAsia="Times New Roman" w:hAnsi="Times New Roman" w:cs="Times New Roman"/>
          <w:sz w:val="24"/>
          <w:szCs w:val="24"/>
          <w:lang w:val="ro-MD"/>
        </w:rPr>
        <w:t>92</w:t>
      </w:r>
      <w:r w:rsidR="0062001B" w:rsidRPr="00A718BE">
        <w:rPr>
          <w:rFonts w:ascii="Times New Roman" w:eastAsia="Times New Roman" w:hAnsi="Times New Roman" w:cs="Times New Roman"/>
          <w:sz w:val="24"/>
          <w:szCs w:val="24"/>
          <w:lang w:val="ro-MD"/>
        </w:rPr>
        <w:t xml:space="preserve"> </w:t>
      </w:r>
      <w:r w:rsidR="00A718BE" w:rsidRPr="00A718BE">
        <w:rPr>
          <w:rFonts w:ascii="Times New Roman" w:eastAsia="Times New Roman" w:hAnsi="Times New Roman" w:cs="Times New Roman"/>
          <w:sz w:val="24"/>
          <w:szCs w:val="24"/>
          <w:lang w:val="ro-MD"/>
        </w:rPr>
        <w:t>subpunctul 2), a valabilităţii şi a caracterului executoriu din punct de vedere juridic ale compensării contractuale.</w:t>
      </w:r>
    </w:p>
    <w:p w14:paraId="1820A9F7" w14:textId="7708EE73"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5</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Banca păstrează în dosarele sale toate documentele referitoare la compensarea contractuală.</w:t>
      </w:r>
    </w:p>
    <w:p w14:paraId="01F197DA" w14:textId="58C52BFE" w:rsidR="00A718BE" w:rsidRPr="00A718BE" w:rsidRDefault="00E45F4D" w:rsidP="00006C2B">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6</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Banca ţine seama de efectele compensării la măsurarea expunerii la riscul de credit agregat al fiecărei contrapărţi şi administrează riscul de credit al contrapărţii pe baza efectelor acestei măsurări.</w:t>
      </w:r>
    </w:p>
    <w:p w14:paraId="2C5B4908" w14:textId="281E0092" w:rsidR="00A718BE" w:rsidRPr="001066E6"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1066E6">
        <w:rPr>
          <w:rFonts w:ascii="Times New Roman" w:eastAsia="Times New Roman" w:hAnsi="Times New Roman" w:cs="Times New Roman"/>
          <w:bCs/>
          <w:i/>
          <w:iCs/>
          <w:sz w:val="24"/>
          <w:szCs w:val="24"/>
          <w:lang w:val="ro-MD"/>
        </w:rPr>
        <w:t xml:space="preserve">Secţiunea </w:t>
      </w:r>
      <w:r w:rsidR="0099409E">
        <w:rPr>
          <w:rFonts w:ascii="Times New Roman" w:eastAsia="Times New Roman" w:hAnsi="Times New Roman" w:cs="Times New Roman"/>
          <w:bCs/>
          <w:i/>
          <w:iCs/>
          <w:sz w:val="24"/>
          <w:szCs w:val="24"/>
          <w:lang w:val="ro-MD"/>
        </w:rPr>
        <w:t xml:space="preserve">a </w:t>
      </w:r>
      <w:r w:rsidRPr="001066E6">
        <w:rPr>
          <w:rFonts w:ascii="Times New Roman" w:eastAsia="Times New Roman" w:hAnsi="Times New Roman" w:cs="Times New Roman"/>
          <w:bCs/>
          <w:i/>
          <w:iCs/>
          <w:sz w:val="24"/>
          <w:szCs w:val="24"/>
          <w:lang w:val="ro-MD"/>
        </w:rPr>
        <w:t>4</w:t>
      </w:r>
      <w:r w:rsidR="0099409E">
        <w:rPr>
          <w:rFonts w:ascii="Times New Roman" w:eastAsia="Times New Roman" w:hAnsi="Times New Roman" w:cs="Times New Roman"/>
          <w:bCs/>
          <w:i/>
          <w:iCs/>
          <w:sz w:val="24"/>
          <w:szCs w:val="24"/>
          <w:lang w:val="ro-MD"/>
        </w:rPr>
        <w:t>-a</w:t>
      </w:r>
    </w:p>
    <w:p w14:paraId="450D92A6" w14:textId="77777777" w:rsidR="00A718BE" w:rsidRPr="0042700C" w:rsidRDefault="00A718BE" w:rsidP="004A4E82">
      <w:pPr>
        <w:spacing w:after="0" w:line="240" w:lineRule="auto"/>
        <w:ind w:firstLine="567"/>
        <w:jc w:val="center"/>
        <w:rPr>
          <w:rFonts w:ascii="Times New Roman" w:eastAsia="Times New Roman" w:hAnsi="Times New Roman" w:cs="Times New Roman"/>
          <w:b/>
          <w:bCs/>
          <w:sz w:val="24"/>
          <w:szCs w:val="24"/>
          <w:lang w:val="ro-MD"/>
        </w:rPr>
      </w:pPr>
      <w:r w:rsidRPr="0042700C">
        <w:rPr>
          <w:rFonts w:ascii="Times New Roman" w:eastAsia="Times New Roman" w:hAnsi="Times New Roman" w:cs="Times New Roman"/>
          <w:b/>
          <w:bCs/>
          <w:sz w:val="24"/>
          <w:szCs w:val="24"/>
          <w:lang w:val="ro-MD"/>
        </w:rPr>
        <w:t>Efectele recunoaşterii compensării ca diminuatoare de risc</w:t>
      </w:r>
    </w:p>
    <w:p w14:paraId="46449D1C" w14:textId="3C132599"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7</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w:t>
      </w:r>
      <w:r w:rsidR="00354DDA" w:rsidRPr="00354DDA">
        <w:rPr>
          <w:rFonts w:ascii="Times New Roman" w:eastAsia="Times New Roman" w:hAnsi="Times New Roman" w:cs="Times New Roman"/>
          <w:sz w:val="24"/>
          <w:szCs w:val="24"/>
          <w:lang w:val="ro-MD"/>
        </w:rPr>
        <w:t xml:space="preserve">Compensarea în sensul secţiunilor 3-6 este recunoscută astfel cum se indică în secţiunile respective. </w:t>
      </w:r>
      <w:r w:rsidR="00A718BE" w:rsidRPr="00A718BE">
        <w:rPr>
          <w:rFonts w:ascii="Times New Roman" w:eastAsia="Times New Roman" w:hAnsi="Times New Roman" w:cs="Times New Roman"/>
          <w:sz w:val="24"/>
          <w:szCs w:val="24"/>
          <w:lang w:val="ro-MD"/>
        </w:rPr>
        <w:t> </w:t>
      </w:r>
    </w:p>
    <w:p w14:paraId="514C050D" w14:textId="77777777" w:rsidR="00A718BE" w:rsidRPr="00A718BE" w:rsidRDefault="001066E6" w:rsidP="004A4E82">
      <w:pPr>
        <w:spacing w:after="0" w:line="240" w:lineRule="auto"/>
        <w:ind w:firstLine="567"/>
        <w:jc w:val="center"/>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Capitolul</w:t>
      </w:r>
      <w:r w:rsidR="00A718BE" w:rsidRPr="00A718BE">
        <w:rPr>
          <w:rFonts w:ascii="Times New Roman" w:eastAsia="Times New Roman" w:hAnsi="Times New Roman" w:cs="Times New Roman"/>
          <w:b/>
          <w:bCs/>
          <w:sz w:val="24"/>
          <w:szCs w:val="24"/>
          <w:lang w:val="ro-MD"/>
        </w:rPr>
        <w:t xml:space="preserve"> VII</w:t>
      </w:r>
    </w:p>
    <w:p w14:paraId="6C6AA14E" w14:textId="77777777" w:rsidR="00A718BE" w:rsidRDefault="00A718BE" w:rsidP="004A4E82">
      <w:pPr>
        <w:spacing w:after="0" w:line="240" w:lineRule="auto"/>
        <w:ind w:firstLine="567"/>
        <w:jc w:val="center"/>
        <w:rPr>
          <w:rFonts w:ascii="Times New Roman" w:eastAsia="Times New Roman" w:hAnsi="Times New Roman" w:cs="Times New Roman"/>
          <w:b/>
          <w:bCs/>
          <w:sz w:val="24"/>
          <w:szCs w:val="24"/>
          <w:lang w:val="ro-MD"/>
        </w:rPr>
      </w:pPr>
      <w:r w:rsidRPr="00A718BE">
        <w:rPr>
          <w:rFonts w:ascii="Times New Roman" w:eastAsia="Times New Roman" w:hAnsi="Times New Roman" w:cs="Times New Roman"/>
          <w:b/>
          <w:bCs/>
          <w:sz w:val="24"/>
          <w:szCs w:val="24"/>
          <w:lang w:val="ro-MD"/>
        </w:rPr>
        <w:t>ELEMENTE ALE PORTOFOLIULUI DE TRANZACŢIONARE</w:t>
      </w:r>
    </w:p>
    <w:p w14:paraId="51BB2884" w14:textId="77777777" w:rsidR="001066E6" w:rsidRPr="00A718BE" w:rsidRDefault="001066E6" w:rsidP="004A4E82">
      <w:pPr>
        <w:spacing w:after="0" w:line="240" w:lineRule="auto"/>
        <w:ind w:firstLine="567"/>
        <w:jc w:val="center"/>
        <w:rPr>
          <w:rFonts w:ascii="Times New Roman" w:eastAsia="Times New Roman" w:hAnsi="Times New Roman" w:cs="Times New Roman"/>
          <w:sz w:val="24"/>
          <w:szCs w:val="24"/>
          <w:lang w:val="ro-MD"/>
        </w:rPr>
      </w:pPr>
    </w:p>
    <w:p w14:paraId="29D0C8AC" w14:textId="7B55F1B0"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8</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La calculul </w:t>
      </w:r>
      <w:r w:rsidR="00A33C1E">
        <w:rPr>
          <w:rFonts w:ascii="Times New Roman" w:eastAsia="Times New Roman" w:hAnsi="Times New Roman" w:cs="Times New Roman"/>
          <w:sz w:val="24"/>
          <w:szCs w:val="24"/>
          <w:lang w:val="ro-MD"/>
        </w:rPr>
        <w:t>cuantumurilor</w:t>
      </w:r>
      <w:r w:rsidR="00A33C1E" w:rsidRPr="00A718BE">
        <w:rPr>
          <w:rFonts w:ascii="Times New Roman" w:eastAsia="Times New Roman" w:hAnsi="Times New Roman" w:cs="Times New Roman"/>
          <w:sz w:val="24"/>
          <w:szCs w:val="24"/>
          <w:lang w:val="ro-MD"/>
        </w:rPr>
        <w:t xml:space="preserve"> </w:t>
      </w:r>
      <w:r w:rsidR="00A718BE" w:rsidRPr="00A718BE">
        <w:rPr>
          <w:rFonts w:ascii="Times New Roman" w:eastAsia="Times New Roman" w:hAnsi="Times New Roman" w:cs="Times New Roman"/>
          <w:sz w:val="24"/>
          <w:szCs w:val="24"/>
          <w:lang w:val="ro-MD"/>
        </w:rPr>
        <w:t xml:space="preserve">ponderate la riscul de contraparte ale expunerilor elementelor din portofoliul de tranzacţionare, băncile respectă regulile descrise </w:t>
      </w:r>
      <w:r w:rsidR="00A718BE" w:rsidRPr="00A92AA0">
        <w:rPr>
          <w:rFonts w:ascii="Times New Roman" w:eastAsia="Times New Roman" w:hAnsi="Times New Roman" w:cs="Times New Roman"/>
          <w:sz w:val="24"/>
          <w:szCs w:val="24"/>
          <w:lang w:val="ro-MD"/>
        </w:rPr>
        <w:t xml:space="preserve">la punctele </w:t>
      </w:r>
      <w:r w:rsidR="00A92AA0" w:rsidRPr="00A92AA0">
        <w:rPr>
          <w:rFonts w:ascii="Times New Roman" w:eastAsia="Times New Roman" w:hAnsi="Times New Roman" w:cs="Times New Roman"/>
          <w:sz w:val="24"/>
          <w:szCs w:val="24"/>
          <w:lang w:val="ro-MD"/>
        </w:rPr>
        <w:t>99</w:t>
      </w:r>
      <w:r w:rsidR="00A718BE" w:rsidRPr="00A92AA0">
        <w:rPr>
          <w:rFonts w:ascii="Times New Roman" w:eastAsia="Times New Roman" w:hAnsi="Times New Roman" w:cs="Times New Roman"/>
          <w:sz w:val="24"/>
          <w:szCs w:val="24"/>
          <w:lang w:val="ro-MD"/>
        </w:rPr>
        <w:t>-</w:t>
      </w:r>
      <w:r w:rsidR="00A92AA0">
        <w:rPr>
          <w:rFonts w:ascii="Times New Roman" w:eastAsia="Times New Roman" w:hAnsi="Times New Roman" w:cs="Times New Roman"/>
          <w:sz w:val="24"/>
          <w:szCs w:val="24"/>
          <w:lang w:val="ro-MD"/>
        </w:rPr>
        <w:t>104.</w:t>
      </w:r>
    </w:p>
    <w:p w14:paraId="49AF3A50" w14:textId="6BD37CF8"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9</w:t>
      </w:r>
      <w:r w:rsidR="004B1CE6">
        <w:rPr>
          <w:rFonts w:ascii="Times New Roman" w:eastAsia="Times New Roman" w:hAnsi="Times New Roman" w:cs="Times New Roman"/>
          <w:b/>
          <w:bCs/>
          <w:sz w:val="24"/>
          <w:szCs w:val="24"/>
          <w:lang w:val="ro-MD"/>
        </w:rPr>
        <w:t>9</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Pentru recunoaşterea efectelor garanţiei financiare băncile nu utilizează metoda simplă a garanţiilor financiare prevăzută la capitolul VIII secţiunea a 4-a din Regulamentul nr.112/2018 cu privire la tehnicile de diminuare a riscului de credit utilizate de bănci.</w:t>
      </w:r>
    </w:p>
    <w:p w14:paraId="625CE202" w14:textId="4245F79E" w:rsidR="00A718BE" w:rsidRPr="00A718BE" w:rsidRDefault="004B1CE6"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100</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În cazul tranzacţiilor de răscumpărare şi al operaţiunilor de dare sau luare de titluri sau mărfuri cu împrumut înregistrate în portofoliul de tranzacţionare, băncile pot recunoaşte drept garanţii reale eligibile toate instrumentele financiare şi toate mărfurile care sunt eligibile pentru includere în portofoliul de tranzacţionare.</w:t>
      </w:r>
    </w:p>
    <w:p w14:paraId="2057437D" w14:textId="4444ADF5"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10</w:t>
      </w:r>
      <w:r w:rsidR="004B1CE6">
        <w:rPr>
          <w:rFonts w:ascii="Times New Roman" w:eastAsia="Times New Roman" w:hAnsi="Times New Roman" w:cs="Times New Roman"/>
          <w:b/>
          <w:bCs/>
          <w:sz w:val="24"/>
          <w:szCs w:val="24"/>
          <w:lang w:val="ro-MD"/>
        </w:rPr>
        <w:t>1</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Pentru expunerile care provin din instrumente financiare derivate extrabursiere înregistrate în portofoliul de tranzacţionare, băncile pot recunoaşte drept garanţii reale eligibile mărfurile care sunt eligibile pentru includere în portofoliul de tranzacţionare.</w:t>
      </w:r>
    </w:p>
    <w:p w14:paraId="4EC4E74E" w14:textId="4CEE1493"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10</w:t>
      </w:r>
      <w:r w:rsidR="004B1CE6">
        <w:rPr>
          <w:rFonts w:ascii="Times New Roman" w:eastAsia="Times New Roman" w:hAnsi="Times New Roman" w:cs="Times New Roman"/>
          <w:b/>
          <w:bCs/>
          <w:sz w:val="24"/>
          <w:szCs w:val="24"/>
          <w:lang w:val="ro-MD"/>
        </w:rPr>
        <w:t>2</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În vederea calculării ajustărilor de volatilitate, în cazul în care astfel de instrumente financiare sau mărfuri, care nu sunt eligibile în conformitate cu Regulamentul nr.112/2018 cu privire la tehnicile de diminuare a riscului de credit utilizate de bănci, sunt date cu împrumut, vândute sau furnizate, ori luate cu împrumut, achiziţionate sau primite drept garanţii reale, sau în alt mod în cadrul unei astfel de tranzacţii, iar banca utilizează, în conformitate cu </w:t>
      </w:r>
      <w:r w:rsidR="00597D47">
        <w:rPr>
          <w:rFonts w:ascii="Times New Roman" w:eastAsia="Times New Roman" w:hAnsi="Times New Roman" w:cs="Times New Roman"/>
          <w:sz w:val="24"/>
          <w:szCs w:val="24"/>
          <w:lang w:val="ro-MD"/>
        </w:rPr>
        <w:t>c</w:t>
      </w:r>
      <w:r w:rsidR="00A718BE" w:rsidRPr="00A718BE">
        <w:rPr>
          <w:rFonts w:ascii="Times New Roman" w:eastAsia="Times New Roman" w:hAnsi="Times New Roman" w:cs="Times New Roman"/>
          <w:sz w:val="24"/>
          <w:szCs w:val="24"/>
          <w:lang w:val="ro-MD"/>
        </w:rPr>
        <w:t>apitolul VIII din regulamentul nominalizat, abordarea bazată pe ajustări de volatilitate reglementate, astfel de instrumente şi mărfuri se tratează în acelaşi fel ca titlurile de capital neincluse într-un indice principal şi cotate la o bursă recunoscută.</w:t>
      </w:r>
    </w:p>
    <w:p w14:paraId="72EA6D74" w14:textId="77A9C4A5"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10</w:t>
      </w:r>
      <w:r w:rsidR="004B1CE6">
        <w:rPr>
          <w:rFonts w:ascii="Times New Roman" w:eastAsia="Times New Roman" w:hAnsi="Times New Roman" w:cs="Times New Roman"/>
          <w:b/>
          <w:bCs/>
          <w:sz w:val="24"/>
          <w:szCs w:val="24"/>
          <w:lang w:val="ro-MD"/>
        </w:rPr>
        <w:t>3</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În ceea ce priveşte recunoaşterea acordurilor-cadru de compensare care acoperă tranzacţii de răscumpărare, operaţiuni de dare sau luare de titluri sau mărfuri cu împrumut sau alte operaţiuni ajustate la condiţiile pieţei de capital, băncile recunosc compensarea între poziţii din portofoliul de </w:t>
      </w:r>
      <w:r w:rsidR="00A718BE" w:rsidRPr="00A718BE">
        <w:rPr>
          <w:rFonts w:ascii="Times New Roman" w:eastAsia="Times New Roman" w:hAnsi="Times New Roman" w:cs="Times New Roman"/>
          <w:sz w:val="24"/>
          <w:szCs w:val="24"/>
          <w:lang w:val="ro-MD"/>
        </w:rPr>
        <w:lastRenderedPageBreak/>
        <w:t>tranzacţionare şi poziţii din afara portofoliului de tranzacţionare, numai dacă tranzacţiile compensate îndeplinesc următoarele condiţii:</w:t>
      </w:r>
    </w:p>
    <w:p w14:paraId="2675FE58"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1) toate tranzacţiile sunt marcate la piaţă zilnic;</w:t>
      </w:r>
    </w:p>
    <w:p w14:paraId="17AB2B8C" w14:textId="0A8BBE1B"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 xml:space="preserve">2) orice elemente luate cu împrumut, achiziţionate sau primite în cadrul tranzacţiilor pot fi recunoscute drept garanţii financiare eligibile în conformitate cu </w:t>
      </w:r>
      <w:r w:rsidR="00597D47">
        <w:rPr>
          <w:rFonts w:ascii="Times New Roman" w:eastAsia="Times New Roman" w:hAnsi="Times New Roman" w:cs="Times New Roman"/>
          <w:sz w:val="24"/>
          <w:szCs w:val="24"/>
          <w:lang w:val="ro-MD"/>
        </w:rPr>
        <w:t xml:space="preserve">punctul </w:t>
      </w:r>
      <w:r w:rsidRPr="00A718BE">
        <w:rPr>
          <w:rFonts w:ascii="Times New Roman" w:eastAsia="Times New Roman" w:hAnsi="Times New Roman" w:cs="Times New Roman"/>
          <w:sz w:val="24"/>
          <w:szCs w:val="24"/>
          <w:lang w:val="ro-MD"/>
        </w:rPr>
        <w:t xml:space="preserve">25 din Regulamentul nr.112/2018 cu privire la tehnicile de diminuare a riscului de credit utilizate de bănci, fără aplicarea punctului </w:t>
      </w:r>
      <w:r w:rsidR="0062001B">
        <w:rPr>
          <w:rFonts w:ascii="Times New Roman" w:eastAsia="Times New Roman" w:hAnsi="Times New Roman" w:cs="Times New Roman"/>
          <w:sz w:val="24"/>
          <w:szCs w:val="24"/>
          <w:lang w:val="ro-MD"/>
        </w:rPr>
        <w:t>100</w:t>
      </w:r>
      <w:r w:rsidRPr="00A718BE">
        <w:rPr>
          <w:rFonts w:ascii="Times New Roman" w:eastAsia="Times New Roman" w:hAnsi="Times New Roman" w:cs="Times New Roman"/>
          <w:sz w:val="24"/>
          <w:szCs w:val="24"/>
          <w:lang w:val="ro-MD"/>
        </w:rPr>
        <w:t>.</w:t>
      </w:r>
    </w:p>
    <w:p w14:paraId="1CB24878" w14:textId="604403EF" w:rsidR="00A718BE" w:rsidRPr="00A718BE" w:rsidRDefault="00E45F4D" w:rsidP="004A4E82">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10</w:t>
      </w:r>
      <w:r w:rsidR="004B1CE6">
        <w:rPr>
          <w:rFonts w:ascii="Times New Roman" w:eastAsia="Times New Roman" w:hAnsi="Times New Roman" w:cs="Times New Roman"/>
          <w:b/>
          <w:bCs/>
          <w:sz w:val="24"/>
          <w:szCs w:val="24"/>
          <w:lang w:val="ro-MD"/>
        </w:rPr>
        <w:t>4</w:t>
      </w:r>
      <w:r w:rsidR="00A718BE" w:rsidRPr="00A718BE">
        <w:rPr>
          <w:rFonts w:ascii="Times New Roman" w:eastAsia="Times New Roman" w:hAnsi="Times New Roman" w:cs="Times New Roman"/>
          <w:b/>
          <w:bCs/>
          <w:sz w:val="24"/>
          <w:szCs w:val="24"/>
          <w:lang w:val="ro-MD"/>
        </w:rPr>
        <w:t>.</w:t>
      </w:r>
      <w:r w:rsidR="00A718BE" w:rsidRPr="00A718BE">
        <w:rPr>
          <w:rFonts w:ascii="Times New Roman" w:eastAsia="Times New Roman" w:hAnsi="Times New Roman" w:cs="Times New Roman"/>
          <w:sz w:val="24"/>
          <w:szCs w:val="24"/>
          <w:lang w:val="ro-MD"/>
        </w:rPr>
        <w:t xml:space="preserve"> Dacă un instrument financiar derivat de credit inclus în portofoliul de tranzacţionare face parte dintr-o acoperire internă a riscului, iar protecţia creditului este recunoscută în temeiul capitolului V din Regulamentul nr.112/2018 cu privire la tehnicile de diminuare a riscului de credit utilizate de bănci, băncile aplică una din următoarele abordări:</w:t>
      </w:r>
    </w:p>
    <w:p w14:paraId="7E92D651"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1) tratează instrumentul financiar derivat de credit ca şi când nu ar exista risc de contraparte decurgând din poziţia pe instrumentul respectiv;</w:t>
      </w:r>
    </w:p>
    <w:p w14:paraId="2195911A" w14:textId="6366F461" w:rsidR="00A718BE" w:rsidRPr="00A718BE" w:rsidRDefault="00A718BE" w:rsidP="00006C2B">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2) includ în mod consecvent în calculul cerinţelor de fonduri proprii pentru riscul de credit al contrapărţii toate instrumentele financiare derivate de credit din portofoliul de tranzacţionare care fac parte din acoperiri interne ale riscului sau sunt achiziţionate ca protecţie împotriva unei expuneri la riscul de credit al contrapărţii, dacă protecţia creditului este recunoscută ca eligibilă în conformitate cu Regulamentul nr.112/2018 cu privire la tehnicile de diminuare a riscului de credit utilizate de bănci.</w:t>
      </w:r>
    </w:p>
    <w:p w14:paraId="01EC5CEE" w14:textId="77777777" w:rsidR="00A718BE" w:rsidRPr="00A718BE"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Capitolul VIII</w:t>
      </w:r>
    </w:p>
    <w:p w14:paraId="63B5B8B4" w14:textId="7136D57A" w:rsidR="00A718BE" w:rsidRPr="00A718BE" w:rsidRDefault="00A718BE" w:rsidP="004A4E82">
      <w:pPr>
        <w:spacing w:after="0" w:line="240" w:lineRule="auto"/>
        <w:ind w:firstLine="567"/>
        <w:jc w:val="center"/>
        <w:rPr>
          <w:rFonts w:ascii="Times New Roman" w:eastAsia="Times New Roman" w:hAnsi="Times New Roman" w:cs="Times New Roman"/>
          <w:sz w:val="24"/>
          <w:szCs w:val="24"/>
          <w:lang w:val="ro-MD"/>
        </w:rPr>
      </w:pPr>
      <w:r w:rsidRPr="00A718BE">
        <w:rPr>
          <w:rFonts w:ascii="Times New Roman" w:eastAsia="Times New Roman" w:hAnsi="Times New Roman" w:cs="Times New Roman"/>
          <w:b/>
          <w:bCs/>
          <w:sz w:val="24"/>
          <w:szCs w:val="24"/>
          <w:lang w:val="ro-MD"/>
        </w:rPr>
        <w:t xml:space="preserve">CERINŢELE DE FONDURI PROPRII PENTRU </w:t>
      </w:r>
      <w:r w:rsidR="00376FB0">
        <w:rPr>
          <w:rFonts w:ascii="Times New Roman" w:eastAsia="Times New Roman" w:hAnsi="Times New Roman" w:cs="Times New Roman"/>
          <w:b/>
          <w:bCs/>
          <w:sz w:val="24"/>
          <w:szCs w:val="24"/>
          <w:lang w:val="ro-MD"/>
        </w:rPr>
        <w:t>EXPUNERILE FAȚĂ</w:t>
      </w:r>
    </w:p>
    <w:p w14:paraId="4D7BAB9B" w14:textId="77777777" w:rsidR="00A718BE" w:rsidRDefault="00A718BE" w:rsidP="004A4E82">
      <w:pPr>
        <w:spacing w:after="0" w:line="240" w:lineRule="auto"/>
        <w:ind w:firstLine="567"/>
        <w:jc w:val="center"/>
        <w:rPr>
          <w:rFonts w:ascii="Times New Roman" w:eastAsia="Times New Roman" w:hAnsi="Times New Roman" w:cs="Times New Roman"/>
          <w:b/>
          <w:bCs/>
          <w:sz w:val="24"/>
          <w:szCs w:val="24"/>
          <w:lang w:val="ro-MD"/>
        </w:rPr>
      </w:pPr>
      <w:r w:rsidRPr="00A718BE">
        <w:rPr>
          <w:rFonts w:ascii="Times New Roman" w:eastAsia="Times New Roman" w:hAnsi="Times New Roman" w:cs="Times New Roman"/>
          <w:b/>
          <w:bCs/>
          <w:sz w:val="24"/>
          <w:szCs w:val="24"/>
          <w:lang w:val="ro-MD"/>
        </w:rPr>
        <w:t>DE O CONTAPARTE CENTRALĂ</w:t>
      </w:r>
    </w:p>
    <w:p w14:paraId="78178880" w14:textId="77777777" w:rsidR="0042700C" w:rsidRDefault="0042700C" w:rsidP="004A4E82">
      <w:pPr>
        <w:spacing w:after="0" w:line="240" w:lineRule="auto"/>
        <w:ind w:firstLine="567"/>
        <w:jc w:val="center"/>
        <w:rPr>
          <w:rFonts w:ascii="Times New Roman" w:eastAsia="Times New Roman" w:hAnsi="Times New Roman" w:cs="Times New Roman"/>
          <w:b/>
          <w:bCs/>
          <w:sz w:val="24"/>
          <w:szCs w:val="24"/>
          <w:lang w:val="ro-MD"/>
        </w:rPr>
      </w:pPr>
    </w:p>
    <w:p w14:paraId="4525A373" w14:textId="77777777" w:rsidR="00376FB0" w:rsidRPr="001066E6" w:rsidRDefault="00376FB0" w:rsidP="00376FB0">
      <w:pPr>
        <w:spacing w:after="0" w:line="240" w:lineRule="auto"/>
        <w:ind w:firstLine="567"/>
        <w:jc w:val="center"/>
        <w:rPr>
          <w:rFonts w:ascii="Times New Roman" w:eastAsia="Times New Roman" w:hAnsi="Times New Roman" w:cs="Times New Roman"/>
          <w:sz w:val="24"/>
          <w:szCs w:val="24"/>
          <w:lang w:val="ro-MD"/>
        </w:rPr>
      </w:pPr>
      <w:r w:rsidRPr="001066E6">
        <w:rPr>
          <w:rFonts w:ascii="Times New Roman" w:eastAsia="Times New Roman" w:hAnsi="Times New Roman" w:cs="Times New Roman"/>
          <w:bCs/>
          <w:i/>
          <w:iCs/>
          <w:sz w:val="24"/>
          <w:szCs w:val="24"/>
          <w:lang w:val="ro-MD"/>
        </w:rPr>
        <w:t>Secţiunea 1</w:t>
      </w:r>
    </w:p>
    <w:p w14:paraId="0DBDCB1C" w14:textId="2C61F319" w:rsidR="00376FB0" w:rsidRPr="0042700C" w:rsidRDefault="00376FB0" w:rsidP="004A4E82">
      <w:pPr>
        <w:spacing w:after="0" w:line="240" w:lineRule="auto"/>
        <w:ind w:firstLine="567"/>
        <w:jc w:val="center"/>
        <w:rPr>
          <w:rFonts w:ascii="Times New Roman" w:eastAsia="Times New Roman" w:hAnsi="Times New Roman" w:cs="Times New Roman"/>
          <w:b/>
          <w:bCs/>
          <w:sz w:val="24"/>
          <w:szCs w:val="24"/>
          <w:lang w:val="ro-MD"/>
        </w:rPr>
      </w:pPr>
      <w:r w:rsidRPr="0042700C">
        <w:rPr>
          <w:rFonts w:ascii="Times New Roman" w:eastAsia="Times New Roman" w:hAnsi="Times New Roman" w:cs="Times New Roman"/>
          <w:b/>
          <w:bCs/>
          <w:sz w:val="24"/>
          <w:szCs w:val="24"/>
          <w:lang w:val="ro-MD"/>
        </w:rPr>
        <w:t>Domeniul de aplicare material</w:t>
      </w:r>
    </w:p>
    <w:p w14:paraId="00EBA8DE" w14:textId="27D44F44" w:rsidR="00376FB0" w:rsidRPr="00376FB0" w:rsidRDefault="004B1CE6" w:rsidP="00376FB0">
      <w:pPr>
        <w:spacing w:after="0" w:line="240" w:lineRule="auto"/>
        <w:ind w:firstLine="567"/>
        <w:jc w:val="both"/>
        <w:rPr>
          <w:rFonts w:ascii="Times New Roman" w:eastAsia="Times New Roman" w:hAnsi="Times New Roman" w:cs="Times New Roman"/>
          <w:sz w:val="24"/>
          <w:szCs w:val="24"/>
          <w:lang w:val="ro-MD"/>
        </w:rPr>
      </w:pPr>
      <w:r w:rsidRPr="00923D31">
        <w:rPr>
          <w:rFonts w:ascii="Times New Roman" w:eastAsia="Times New Roman" w:hAnsi="Times New Roman" w:cs="Times New Roman"/>
          <w:b/>
          <w:bCs/>
          <w:sz w:val="24"/>
          <w:szCs w:val="24"/>
          <w:lang w:val="ro-MD"/>
        </w:rPr>
        <w:t>105</w:t>
      </w:r>
      <w:r w:rsidR="00A718BE" w:rsidRPr="00923D31">
        <w:rPr>
          <w:rFonts w:ascii="Times New Roman" w:eastAsia="Times New Roman" w:hAnsi="Times New Roman" w:cs="Times New Roman"/>
          <w:b/>
          <w:bCs/>
          <w:sz w:val="24"/>
          <w:szCs w:val="24"/>
          <w:lang w:val="ro-MD"/>
        </w:rPr>
        <w:t>.</w:t>
      </w:r>
      <w:r w:rsidR="00A718BE" w:rsidRPr="00923D31">
        <w:rPr>
          <w:rFonts w:ascii="Times New Roman" w:eastAsia="Times New Roman" w:hAnsi="Times New Roman" w:cs="Times New Roman"/>
          <w:sz w:val="24"/>
          <w:szCs w:val="24"/>
          <w:lang w:val="ro-MD"/>
        </w:rPr>
        <w:t xml:space="preserve"> </w:t>
      </w:r>
      <w:r w:rsidR="00376FB0" w:rsidRPr="00376FB0">
        <w:rPr>
          <w:rFonts w:ascii="Times New Roman" w:eastAsia="Times New Roman" w:hAnsi="Times New Roman" w:cs="Times New Roman"/>
          <w:sz w:val="24"/>
          <w:szCs w:val="24"/>
          <w:lang w:val="ro-MD"/>
        </w:rPr>
        <w:t>Prezent</w:t>
      </w:r>
      <w:r w:rsidR="00376FB0">
        <w:rPr>
          <w:rFonts w:ascii="Times New Roman" w:eastAsia="Times New Roman" w:hAnsi="Times New Roman" w:cs="Times New Roman"/>
          <w:sz w:val="24"/>
          <w:szCs w:val="24"/>
          <w:lang w:val="ro-MD"/>
        </w:rPr>
        <w:t>ul capitol</w:t>
      </w:r>
      <w:r w:rsidR="00376FB0" w:rsidRPr="00376FB0">
        <w:rPr>
          <w:rFonts w:ascii="Times New Roman" w:eastAsia="Times New Roman" w:hAnsi="Times New Roman" w:cs="Times New Roman"/>
          <w:sz w:val="24"/>
          <w:szCs w:val="24"/>
          <w:lang w:val="ro-MD"/>
        </w:rPr>
        <w:t xml:space="preserve"> se aplică următoarelor contracte și tranzacţii, atât timp cât sunt în curs de desfășurare cu o CPC:</w:t>
      </w:r>
    </w:p>
    <w:p w14:paraId="6BB9F735" w14:textId="24A0BD5C" w:rsidR="00376FB0" w:rsidRPr="00376FB0" w:rsidRDefault="00DF37CD" w:rsidP="00376FB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w:t>
      </w:r>
      <w:r w:rsidR="00376FB0" w:rsidRPr="00376FB0">
        <w:rPr>
          <w:rFonts w:ascii="Times New Roman" w:eastAsia="Times New Roman" w:hAnsi="Times New Roman" w:cs="Times New Roman"/>
          <w:sz w:val="24"/>
          <w:szCs w:val="24"/>
          <w:lang w:val="ro-MD"/>
        </w:rPr>
        <w:t>) contractelor derivate enumerate în anexa nr.1 la Regulamentul nr.114/2018 cu privire la tratamentul riscului de piaţă potrivit abordării standardizate și instrumentelor financiare derivate de credit;</w:t>
      </w:r>
    </w:p>
    <w:p w14:paraId="584D8CB0" w14:textId="548BE7DC" w:rsidR="00376FB0" w:rsidRPr="00376FB0" w:rsidRDefault="00DF37CD" w:rsidP="00376FB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00376FB0" w:rsidRPr="00376FB0">
        <w:rPr>
          <w:rFonts w:ascii="Times New Roman" w:eastAsia="Times New Roman" w:hAnsi="Times New Roman" w:cs="Times New Roman"/>
          <w:sz w:val="24"/>
          <w:szCs w:val="24"/>
          <w:lang w:val="ro-MD"/>
        </w:rPr>
        <w:t>) operaţiunilor de finanţare prin titluri de valoare și tranzacţiilor de dare sau luare cu împrumut de depozite garantate integral; și</w:t>
      </w:r>
    </w:p>
    <w:p w14:paraId="321B18A0" w14:textId="507125E2" w:rsidR="00376FB0" w:rsidRPr="00376FB0" w:rsidRDefault="00DF37CD" w:rsidP="00376FB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3</w:t>
      </w:r>
      <w:r w:rsidR="00376FB0" w:rsidRPr="00376FB0">
        <w:rPr>
          <w:rFonts w:ascii="Times New Roman" w:eastAsia="Times New Roman" w:hAnsi="Times New Roman" w:cs="Times New Roman"/>
          <w:sz w:val="24"/>
          <w:szCs w:val="24"/>
          <w:lang w:val="ro-MD"/>
        </w:rPr>
        <w:t>) tranzacţiilor cu termen lung de decontare.</w:t>
      </w:r>
    </w:p>
    <w:p w14:paraId="5AB1EDF4" w14:textId="776EC7FA" w:rsidR="00376FB0" w:rsidRDefault="00376FB0" w:rsidP="00C603B0">
      <w:pPr>
        <w:spacing w:after="0" w:line="240" w:lineRule="auto"/>
        <w:ind w:firstLine="567"/>
        <w:jc w:val="both"/>
        <w:rPr>
          <w:rFonts w:ascii="Times New Roman" w:eastAsia="Times New Roman" w:hAnsi="Times New Roman" w:cs="Times New Roman"/>
          <w:sz w:val="24"/>
          <w:szCs w:val="24"/>
          <w:lang w:val="ro-MD"/>
        </w:rPr>
      </w:pPr>
      <w:r w:rsidRPr="00376FB0">
        <w:rPr>
          <w:rFonts w:ascii="Times New Roman" w:eastAsia="Times New Roman" w:hAnsi="Times New Roman" w:cs="Times New Roman"/>
          <w:sz w:val="24"/>
          <w:szCs w:val="24"/>
          <w:lang w:val="ro-MD"/>
        </w:rPr>
        <w:t>Prezent</w:t>
      </w:r>
      <w:r>
        <w:rPr>
          <w:rFonts w:ascii="Times New Roman" w:eastAsia="Times New Roman" w:hAnsi="Times New Roman" w:cs="Times New Roman"/>
          <w:sz w:val="24"/>
          <w:szCs w:val="24"/>
          <w:lang w:val="ro-MD"/>
        </w:rPr>
        <w:t>ul capitol</w:t>
      </w:r>
      <w:r w:rsidRPr="00376FB0">
        <w:rPr>
          <w:rFonts w:ascii="Times New Roman" w:eastAsia="Times New Roman" w:hAnsi="Times New Roman" w:cs="Times New Roman"/>
          <w:sz w:val="24"/>
          <w:szCs w:val="24"/>
          <w:lang w:val="ro-MD"/>
        </w:rPr>
        <w:t xml:space="preserve"> nu se aplică expunerilor care rezultă din decontarea tranzacţiilor în numerar. </w:t>
      </w:r>
      <w:r>
        <w:rPr>
          <w:rFonts w:ascii="Times New Roman" w:eastAsia="Times New Roman" w:hAnsi="Times New Roman" w:cs="Times New Roman"/>
          <w:sz w:val="24"/>
          <w:szCs w:val="24"/>
          <w:lang w:val="ro-MD"/>
        </w:rPr>
        <w:t>Băncile</w:t>
      </w:r>
      <w:r w:rsidRPr="00376FB0">
        <w:rPr>
          <w:rFonts w:ascii="Times New Roman" w:eastAsia="Times New Roman" w:hAnsi="Times New Roman" w:cs="Times New Roman"/>
          <w:sz w:val="24"/>
          <w:szCs w:val="24"/>
          <w:lang w:val="ro-MD"/>
        </w:rPr>
        <w:t xml:space="preserve"> aplică tratamentul prevăzut </w:t>
      </w:r>
      <w:r w:rsidR="00C603B0">
        <w:rPr>
          <w:rFonts w:ascii="Times New Roman" w:eastAsia="Times New Roman" w:hAnsi="Times New Roman" w:cs="Times New Roman"/>
          <w:sz w:val="24"/>
          <w:szCs w:val="24"/>
          <w:lang w:val="ro-MD"/>
        </w:rPr>
        <w:t xml:space="preserve">în </w:t>
      </w:r>
      <w:r w:rsidR="00C603B0" w:rsidRPr="00C603B0">
        <w:rPr>
          <w:rFonts w:ascii="Times New Roman" w:eastAsia="Times New Roman" w:hAnsi="Times New Roman" w:cs="Times New Roman"/>
          <w:sz w:val="24"/>
          <w:szCs w:val="24"/>
          <w:lang w:val="ro-MD"/>
        </w:rPr>
        <w:t>Regulamentul</w:t>
      </w:r>
      <w:r w:rsidR="00C603B0">
        <w:rPr>
          <w:rFonts w:ascii="Times New Roman" w:eastAsia="Times New Roman" w:hAnsi="Times New Roman" w:cs="Times New Roman"/>
          <w:sz w:val="24"/>
          <w:szCs w:val="24"/>
          <w:lang w:val="ro-MD"/>
        </w:rPr>
        <w:t xml:space="preserve"> nr.115/2018</w:t>
      </w:r>
      <w:r w:rsidR="00C603B0" w:rsidRPr="00C603B0">
        <w:rPr>
          <w:rFonts w:ascii="Times New Roman" w:eastAsia="Times New Roman" w:hAnsi="Times New Roman" w:cs="Times New Roman"/>
          <w:sz w:val="24"/>
          <w:szCs w:val="24"/>
          <w:lang w:val="ro-MD"/>
        </w:rPr>
        <w:t xml:space="preserve"> cu privire la</w:t>
      </w:r>
      <w:r w:rsidR="00C603B0">
        <w:rPr>
          <w:rFonts w:ascii="Times New Roman" w:eastAsia="Times New Roman" w:hAnsi="Times New Roman" w:cs="Times New Roman"/>
          <w:sz w:val="24"/>
          <w:szCs w:val="24"/>
          <w:lang w:val="ro-MD"/>
        </w:rPr>
        <w:t xml:space="preserve"> </w:t>
      </w:r>
      <w:r w:rsidR="00C603B0" w:rsidRPr="00C603B0">
        <w:rPr>
          <w:rFonts w:ascii="Times New Roman" w:eastAsia="Times New Roman" w:hAnsi="Times New Roman" w:cs="Times New Roman"/>
          <w:sz w:val="24"/>
          <w:szCs w:val="24"/>
          <w:lang w:val="ro-MD"/>
        </w:rPr>
        <w:t>tratamentul riscului de decontare/livrare pentru bănci</w:t>
      </w:r>
      <w:r w:rsidR="00C603B0">
        <w:rPr>
          <w:rFonts w:ascii="Times New Roman" w:eastAsia="Times New Roman" w:hAnsi="Times New Roman" w:cs="Times New Roman"/>
          <w:sz w:val="24"/>
          <w:szCs w:val="24"/>
          <w:lang w:val="ro-MD"/>
        </w:rPr>
        <w:t>,</w:t>
      </w:r>
      <w:r w:rsidR="00C603B0" w:rsidRPr="00C603B0">
        <w:rPr>
          <w:rFonts w:ascii="Times New Roman" w:eastAsia="Times New Roman" w:hAnsi="Times New Roman" w:cs="Times New Roman"/>
          <w:sz w:val="24"/>
          <w:szCs w:val="24"/>
          <w:lang w:val="ro-MD"/>
        </w:rPr>
        <w:t xml:space="preserve"> </w:t>
      </w:r>
      <w:r w:rsidRPr="00376FB0">
        <w:rPr>
          <w:rFonts w:ascii="Times New Roman" w:eastAsia="Times New Roman" w:hAnsi="Times New Roman" w:cs="Times New Roman"/>
          <w:sz w:val="24"/>
          <w:szCs w:val="24"/>
          <w:lang w:val="ro-MD"/>
        </w:rPr>
        <w:t xml:space="preserve">expunerilor din tranzacţii ce rezultă din respectivele tranzacţii și o pondere de risc de 0 % contribuţiilor la fondul de garantare care acoperă doar acele tranzacţii. </w:t>
      </w:r>
      <w:r w:rsidR="00C603B0">
        <w:rPr>
          <w:rFonts w:ascii="Times New Roman" w:eastAsia="Times New Roman" w:hAnsi="Times New Roman" w:cs="Times New Roman"/>
          <w:sz w:val="24"/>
          <w:szCs w:val="24"/>
          <w:lang w:val="ro-MD"/>
        </w:rPr>
        <w:t>Băncile</w:t>
      </w:r>
      <w:r w:rsidRPr="00376FB0">
        <w:rPr>
          <w:rFonts w:ascii="Times New Roman" w:eastAsia="Times New Roman" w:hAnsi="Times New Roman" w:cs="Times New Roman"/>
          <w:sz w:val="24"/>
          <w:szCs w:val="24"/>
          <w:lang w:val="ro-MD"/>
        </w:rPr>
        <w:t xml:space="preserve"> aplică tratamentul prevăzut la </w:t>
      </w:r>
      <w:r w:rsidR="00FE737A">
        <w:rPr>
          <w:rFonts w:ascii="Times New Roman" w:eastAsia="Times New Roman" w:hAnsi="Times New Roman" w:cs="Times New Roman"/>
          <w:sz w:val="24"/>
          <w:szCs w:val="24"/>
          <w:lang w:val="ro-MD"/>
        </w:rPr>
        <w:t>punctul 126</w:t>
      </w:r>
      <w:r w:rsidRPr="00376FB0">
        <w:rPr>
          <w:rFonts w:ascii="Times New Roman" w:eastAsia="Times New Roman" w:hAnsi="Times New Roman" w:cs="Times New Roman"/>
          <w:sz w:val="24"/>
          <w:szCs w:val="24"/>
          <w:lang w:val="ro-MD"/>
        </w:rPr>
        <w:t xml:space="preserve"> contribuţiilor la fondul de garantare care acoperă oricare dintre tipurile de contracte menţionate </w:t>
      </w:r>
      <w:r w:rsidR="00C603B0">
        <w:rPr>
          <w:rFonts w:ascii="Times New Roman" w:eastAsia="Times New Roman" w:hAnsi="Times New Roman" w:cs="Times New Roman"/>
          <w:sz w:val="24"/>
          <w:szCs w:val="24"/>
          <w:lang w:val="ro-MD"/>
        </w:rPr>
        <w:t>în prezentul punct</w:t>
      </w:r>
      <w:r w:rsidRPr="00376FB0">
        <w:rPr>
          <w:rFonts w:ascii="Times New Roman" w:eastAsia="Times New Roman" w:hAnsi="Times New Roman" w:cs="Times New Roman"/>
          <w:sz w:val="24"/>
          <w:szCs w:val="24"/>
          <w:lang w:val="ro-MD"/>
        </w:rPr>
        <w:t>, în plus faţă de tranzacţiile în numerar.</w:t>
      </w:r>
    </w:p>
    <w:p w14:paraId="78AF0876" w14:textId="4C556BA1" w:rsidR="00C603B0" w:rsidRPr="00C603B0" w:rsidRDefault="00C603B0" w:rsidP="00C603B0">
      <w:pPr>
        <w:spacing w:after="0" w:line="240" w:lineRule="auto"/>
        <w:ind w:firstLine="567"/>
        <w:jc w:val="both"/>
        <w:rPr>
          <w:rFonts w:ascii="Times New Roman" w:eastAsia="Times New Roman" w:hAnsi="Times New Roman" w:cs="Times New Roman"/>
          <w:sz w:val="24"/>
          <w:szCs w:val="24"/>
          <w:lang w:val="ro-MD"/>
        </w:rPr>
      </w:pPr>
      <w:r w:rsidRPr="00C603B0">
        <w:rPr>
          <w:rFonts w:ascii="Times New Roman" w:eastAsia="Times New Roman" w:hAnsi="Times New Roman" w:cs="Times New Roman"/>
          <w:b/>
          <w:bCs/>
          <w:sz w:val="24"/>
          <w:szCs w:val="24"/>
          <w:lang w:val="ro-MD"/>
        </w:rPr>
        <w:t xml:space="preserve">106. </w:t>
      </w:r>
      <w:r w:rsidRPr="00C603B0">
        <w:rPr>
          <w:rFonts w:ascii="Times New Roman" w:eastAsia="Times New Roman" w:hAnsi="Times New Roman" w:cs="Times New Roman"/>
          <w:sz w:val="24"/>
          <w:szCs w:val="24"/>
          <w:lang w:val="ro-MD"/>
        </w:rPr>
        <w:t>În sensul prezent</w:t>
      </w:r>
      <w:r>
        <w:rPr>
          <w:rFonts w:ascii="Times New Roman" w:eastAsia="Times New Roman" w:hAnsi="Times New Roman" w:cs="Times New Roman"/>
          <w:sz w:val="24"/>
          <w:szCs w:val="24"/>
          <w:lang w:val="ro-MD"/>
        </w:rPr>
        <w:t>ului capitol</w:t>
      </w:r>
      <w:r w:rsidRPr="00C603B0">
        <w:rPr>
          <w:rFonts w:ascii="Times New Roman" w:eastAsia="Times New Roman" w:hAnsi="Times New Roman" w:cs="Times New Roman"/>
          <w:sz w:val="24"/>
          <w:szCs w:val="24"/>
          <w:lang w:val="ro-MD"/>
        </w:rPr>
        <w:t>, se aplică următoarele cerinţe:</w:t>
      </w:r>
    </w:p>
    <w:p w14:paraId="6DE48AEE" w14:textId="39EA0FA6" w:rsidR="00C603B0" w:rsidRPr="00C603B0" w:rsidRDefault="00DF37CD" w:rsidP="00C603B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w:t>
      </w:r>
      <w:r w:rsidR="00C603B0" w:rsidRPr="00C603B0">
        <w:rPr>
          <w:rFonts w:ascii="Times New Roman" w:eastAsia="Times New Roman" w:hAnsi="Times New Roman" w:cs="Times New Roman"/>
          <w:sz w:val="24"/>
          <w:szCs w:val="24"/>
          <w:lang w:val="ro-MD"/>
        </w:rPr>
        <w:t>) marja iniţială nu include contribuţiile către o CPC pentru acorduri mutualizate de partajare a pierderilor;</w:t>
      </w:r>
    </w:p>
    <w:p w14:paraId="73B2B43C" w14:textId="1A75515D" w:rsidR="00C603B0" w:rsidRPr="00C603B0" w:rsidRDefault="00DF37CD" w:rsidP="00C603B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00C603B0" w:rsidRPr="00C603B0">
        <w:rPr>
          <w:rFonts w:ascii="Times New Roman" w:eastAsia="Times New Roman" w:hAnsi="Times New Roman" w:cs="Times New Roman"/>
          <w:sz w:val="24"/>
          <w:szCs w:val="24"/>
          <w:lang w:val="ro-MD"/>
        </w:rPr>
        <w:t xml:space="preserve">) marja iniţială include garanţiile reale depuse de o </w:t>
      </w:r>
      <w:r w:rsidR="005C5EC4">
        <w:rPr>
          <w:rFonts w:ascii="Times New Roman" w:eastAsia="Times New Roman" w:hAnsi="Times New Roman" w:cs="Times New Roman"/>
          <w:sz w:val="24"/>
          <w:szCs w:val="24"/>
          <w:lang w:val="ro-MD"/>
        </w:rPr>
        <w:t>bancă</w:t>
      </w:r>
      <w:r w:rsidR="00C603B0" w:rsidRPr="00C603B0">
        <w:rPr>
          <w:rFonts w:ascii="Times New Roman" w:eastAsia="Times New Roman" w:hAnsi="Times New Roman" w:cs="Times New Roman"/>
          <w:sz w:val="24"/>
          <w:szCs w:val="24"/>
          <w:lang w:val="ro-MD"/>
        </w:rPr>
        <w:t xml:space="preserve"> care acţionează în calitate de membru compensator sau de client peste suma minimă impusă de CPC sau de </w:t>
      </w:r>
      <w:r w:rsidR="00C603B0">
        <w:rPr>
          <w:rFonts w:ascii="Times New Roman" w:eastAsia="Times New Roman" w:hAnsi="Times New Roman" w:cs="Times New Roman"/>
          <w:sz w:val="24"/>
          <w:szCs w:val="24"/>
          <w:lang w:val="ro-MD"/>
        </w:rPr>
        <w:t>banca</w:t>
      </w:r>
      <w:r w:rsidR="00C603B0" w:rsidRPr="00C603B0">
        <w:rPr>
          <w:rFonts w:ascii="Times New Roman" w:eastAsia="Times New Roman" w:hAnsi="Times New Roman" w:cs="Times New Roman"/>
          <w:sz w:val="24"/>
          <w:szCs w:val="24"/>
          <w:lang w:val="ro-MD"/>
        </w:rPr>
        <w:t xml:space="preserve"> care acţionează ca membru compensator, cu condiţia ca respectiva CPC sau </w:t>
      </w:r>
      <w:r w:rsidR="00C603B0">
        <w:rPr>
          <w:rFonts w:ascii="Times New Roman" w:eastAsia="Times New Roman" w:hAnsi="Times New Roman" w:cs="Times New Roman"/>
          <w:sz w:val="24"/>
          <w:szCs w:val="24"/>
          <w:lang w:val="ro-MD"/>
        </w:rPr>
        <w:t>banca</w:t>
      </w:r>
      <w:r w:rsidR="00C603B0" w:rsidRPr="00C603B0">
        <w:rPr>
          <w:rFonts w:ascii="Times New Roman" w:eastAsia="Times New Roman" w:hAnsi="Times New Roman" w:cs="Times New Roman"/>
          <w:sz w:val="24"/>
          <w:szCs w:val="24"/>
          <w:lang w:val="ro-MD"/>
        </w:rPr>
        <w:t xml:space="preserve"> care acţionează ca membru compensator să poată, în cazurile corespunzătoare, să împiedice </w:t>
      </w:r>
      <w:r w:rsidR="00C603B0">
        <w:rPr>
          <w:rFonts w:ascii="Times New Roman" w:eastAsia="Times New Roman" w:hAnsi="Times New Roman" w:cs="Times New Roman"/>
          <w:sz w:val="24"/>
          <w:szCs w:val="24"/>
          <w:lang w:val="ro-MD"/>
        </w:rPr>
        <w:t>banca</w:t>
      </w:r>
      <w:r w:rsidR="00C603B0" w:rsidRPr="00C603B0">
        <w:rPr>
          <w:rFonts w:ascii="Times New Roman" w:eastAsia="Times New Roman" w:hAnsi="Times New Roman" w:cs="Times New Roman"/>
          <w:sz w:val="24"/>
          <w:szCs w:val="24"/>
          <w:lang w:val="ro-MD"/>
        </w:rPr>
        <w:t xml:space="preserve"> care acţionează ca membru compensator sau clientul să retragă aceste garanţii reale excedentare;</w:t>
      </w:r>
    </w:p>
    <w:p w14:paraId="35BA4005" w14:textId="19D7D17E" w:rsidR="00376FB0" w:rsidRDefault="00DF37CD" w:rsidP="00C603B0">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3</w:t>
      </w:r>
      <w:r w:rsidR="00C603B0" w:rsidRPr="00C603B0">
        <w:rPr>
          <w:rFonts w:ascii="Times New Roman" w:eastAsia="Times New Roman" w:hAnsi="Times New Roman" w:cs="Times New Roman"/>
          <w:sz w:val="24"/>
          <w:szCs w:val="24"/>
          <w:lang w:val="ro-MD"/>
        </w:rPr>
        <w:t>) în cazul în care o CPC utilizează marja iniţială pentru a mutualiza pierderile în rândul membrilor săi compensatori,</w:t>
      </w:r>
      <w:r w:rsidR="00C603B0">
        <w:rPr>
          <w:rFonts w:ascii="Times New Roman" w:eastAsia="Times New Roman" w:hAnsi="Times New Roman" w:cs="Times New Roman"/>
          <w:sz w:val="24"/>
          <w:szCs w:val="24"/>
          <w:lang w:val="ro-MD"/>
        </w:rPr>
        <w:t xml:space="preserve"> băncile</w:t>
      </w:r>
      <w:r w:rsidR="00C603B0" w:rsidRPr="00C603B0">
        <w:rPr>
          <w:rFonts w:ascii="Times New Roman" w:eastAsia="Times New Roman" w:hAnsi="Times New Roman" w:cs="Times New Roman"/>
          <w:sz w:val="24"/>
          <w:szCs w:val="24"/>
          <w:lang w:val="ro-MD"/>
        </w:rPr>
        <w:t xml:space="preserve"> care acţionează ca membri compensatori tratează marja iniţială respectivă ca fiind o contribuţie la fondul de garantare.</w:t>
      </w:r>
    </w:p>
    <w:p w14:paraId="09D77495" w14:textId="77777777" w:rsidR="00C603B0" w:rsidRDefault="00C603B0" w:rsidP="00C603B0">
      <w:pPr>
        <w:spacing w:after="0" w:line="240" w:lineRule="auto"/>
        <w:ind w:firstLine="567"/>
        <w:jc w:val="both"/>
        <w:rPr>
          <w:rFonts w:ascii="Times New Roman" w:eastAsia="Times New Roman" w:hAnsi="Times New Roman" w:cs="Times New Roman"/>
          <w:sz w:val="24"/>
          <w:szCs w:val="24"/>
          <w:lang w:val="ro-MD"/>
        </w:rPr>
      </w:pPr>
    </w:p>
    <w:p w14:paraId="77605BD6" w14:textId="77777777" w:rsidR="00C603B0" w:rsidRDefault="00C603B0" w:rsidP="00C603B0">
      <w:pPr>
        <w:spacing w:after="0" w:line="240" w:lineRule="auto"/>
        <w:ind w:firstLine="567"/>
        <w:jc w:val="center"/>
        <w:rPr>
          <w:rFonts w:ascii="Times New Roman" w:eastAsia="Times New Roman" w:hAnsi="Times New Roman" w:cs="Times New Roman"/>
          <w:bCs/>
          <w:i/>
          <w:iCs/>
          <w:sz w:val="24"/>
          <w:szCs w:val="24"/>
          <w:lang w:val="ro-MD"/>
        </w:rPr>
      </w:pPr>
      <w:r w:rsidRPr="00C603B0">
        <w:rPr>
          <w:rFonts w:ascii="Times New Roman" w:eastAsia="Times New Roman" w:hAnsi="Times New Roman" w:cs="Times New Roman"/>
          <w:bCs/>
          <w:i/>
          <w:iCs/>
          <w:sz w:val="24"/>
          <w:szCs w:val="24"/>
          <w:lang w:val="ro-MD"/>
        </w:rPr>
        <w:t>Secţiunea a 2-a</w:t>
      </w:r>
    </w:p>
    <w:p w14:paraId="565B4735" w14:textId="41497562" w:rsidR="00C603B0" w:rsidRPr="0042700C" w:rsidRDefault="00C603B0" w:rsidP="00C603B0">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Monitorizarea expunerilor la CPC</w:t>
      </w:r>
    </w:p>
    <w:p w14:paraId="0F11F55D" w14:textId="231CA97D" w:rsidR="00C603B0" w:rsidRPr="00C603B0" w:rsidRDefault="00C603B0" w:rsidP="00C603B0">
      <w:pPr>
        <w:spacing w:after="0" w:line="240" w:lineRule="auto"/>
        <w:ind w:firstLine="567"/>
        <w:jc w:val="both"/>
        <w:rPr>
          <w:rFonts w:ascii="Times New Roman" w:eastAsia="Times New Roman" w:hAnsi="Times New Roman" w:cs="Times New Roman"/>
          <w:bCs/>
          <w:sz w:val="24"/>
          <w:szCs w:val="24"/>
          <w:lang w:val="ro-MD"/>
        </w:rPr>
      </w:pPr>
      <w:r w:rsidRPr="00C603B0">
        <w:rPr>
          <w:rFonts w:ascii="Times New Roman" w:eastAsia="Times New Roman" w:hAnsi="Times New Roman" w:cs="Times New Roman"/>
          <w:b/>
          <w:sz w:val="24"/>
          <w:szCs w:val="24"/>
          <w:lang w:val="ro-MD"/>
        </w:rPr>
        <w:t>107.</w:t>
      </w:r>
      <w:r>
        <w:rPr>
          <w:rFonts w:ascii="Times New Roman" w:eastAsia="Times New Roman" w:hAnsi="Times New Roman" w:cs="Times New Roman"/>
          <w:b/>
          <w:sz w:val="24"/>
          <w:szCs w:val="24"/>
          <w:lang w:val="ro-MD"/>
        </w:rPr>
        <w:t xml:space="preserve"> </w:t>
      </w:r>
      <w:r w:rsidRPr="00C603B0">
        <w:rPr>
          <w:rFonts w:ascii="Times New Roman" w:eastAsia="Times New Roman" w:hAnsi="Times New Roman" w:cs="Times New Roman"/>
          <w:bCs/>
          <w:sz w:val="24"/>
          <w:szCs w:val="24"/>
          <w:lang w:val="ro-MD"/>
        </w:rPr>
        <w:t xml:space="preserve">Băncile își monitorizează toate expunerile la CPC și stabilesc proceduri privind raportarea cu regularitate a informaţiilor privind aceste expuneri către </w:t>
      </w:r>
      <w:r w:rsidR="005C5EC4" w:rsidRPr="005C5EC4">
        <w:rPr>
          <w:rFonts w:ascii="Times New Roman" w:eastAsia="Times New Roman" w:hAnsi="Times New Roman" w:cs="Times New Roman"/>
          <w:bCs/>
          <w:sz w:val="24"/>
          <w:szCs w:val="24"/>
          <w:lang w:val="ro-MD"/>
        </w:rPr>
        <w:t>organul de conducere</w:t>
      </w:r>
      <w:r w:rsidRPr="005C5EC4">
        <w:rPr>
          <w:rFonts w:ascii="Times New Roman" w:eastAsia="Times New Roman" w:hAnsi="Times New Roman" w:cs="Times New Roman"/>
          <w:bCs/>
          <w:sz w:val="24"/>
          <w:szCs w:val="24"/>
          <w:lang w:val="ro-MD"/>
        </w:rPr>
        <w:t xml:space="preserve"> și </w:t>
      </w:r>
      <w:r w:rsidR="005C5EC4" w:rsidRPr="005C5EC4">
        <w:rPr>
          <w:rFonts w:ascii="Times New Roman" w:eastAsia="Times New Roman" w:hAnsi="Times New Roman" w:cs="Times New Roman"/>
          <w:bCs/>
          <w:sz w:val="24"/>
          <w:szCs w:val="24"/>
          <w:lang w:val="ro-MD"/>
        </w:rPr>
        <w:t>comitetelor specializate ale consiliului băncii</w:t>
      </w:r>
      <w:r w:rsidRPr="005C5EC4">
        <w:rPr>
          <w:rFonts w:ascii="Times New Roman" w:eastAsia="Times New Roman" w:hAnsi="Times New Roman" w:cs="Times New Roman"/>
          <w:bCs/>
          <w:sz w:val="24"/>
          <w:szCs w:val="24"/>
          <w:lang w:val="ro-MD"/>
        </w:rPr>
        <w:t>.</w:t>
      </w:r>
      <w:r w:rsidRPr="00C603B0">
        <w:rPr>
          <w:rFonts w:ascii="Times New Roman" w:eastAsia="Times New Roman" w:hAnsi="Times New Roman" w:cs="Times New Roman"/>
          <w:bCs/>
          <w:sz w:val="24"/>
          <w:szCs w:val="24"/>
          <w:lang w:val="ro-MD"/>
        </w:rPr>
        <w:t xml:space="preserve"> </w:t>
      </w:r>
    </w:p>
    <w:p w14:paraId="46D31230" w14:textId="3E758E84" w:rsidR="00C603B0" w:rsidRPr="00C603B0" w:rsidRDefault="00C603B0" w:rsidP="00C603B0">
      <w:pPr>
        <w:spacing w:after="0" w:line="240" w:lineRule="auto"/>
        <w:ind w:firstLine="567"/>
        <w:jc w:val="both"/>
        <w:rPr>
          <w:rFonts w:ascii="Times New Roman" w:eastAsia="Times New Roman" w:hAnsi="Times New Roman" w:cs="Times New Roman"/>
          <w:bCs/>
          <w:sz w:val="24"/>
          <w:szCs w:val="24"/>
          <w:lang w:val="ro-MD"/>
        </w:rPr>
      </w:pPr>
      <w:r w:rsidRPr="00C603B0">
        <w:rPr>
          <w:rFonts w:ascii="Times New Roman" w:eastAsia="Times New Roman" w:hAnsi="Times New Roman" w:cs="Times New Roman"/>
          <w:b/>
          <w:sz w:val="24"/>
          <w:szCs w:val="24"/>
          <w:lang w:val="ro-MD"/>
        </w:rPr>
        <w:t>108.</w:t>
      </w:r>
      <w:r w:rsidRPr="00C603B0">
        <w:rPr>
          <w:rFonts w:ascii="Times New Roman" w:eastAsia="Times New Roman" w:hAnsi="Times New Roman" w:cs="Times New Roman"/>
          <w:bCs/>
          <w:sz w:val="24"/>
          <w:szCs w:val="24"/>
          <w:lang w:val="ro-MD"/>
        </w:rPr>
        <w:t xml:space="preserve"> </w:t>
      </w:r>
      <w:r>
        <w:rPr>
          <w:rFonts w:ascii="Times New Roman" w:eastAsia="Times New Roman" w:hAnsi="Times New Roman" w:cs="Times New Roman"/>
          <w:bCs/>
          <w:sz w:val="24"/>
          <w:szCs w:val="24"/>
          <w:lang w:val="ro-MD"/>
        </w:rPr>
        <w:t>Băncile</w:t>
      </w:r>
      <w:r w:rsidRPr="00C603B0">
        <w:rPr>
          <w:rFonts w:ascii="Times New Roman" w:eastAsia="Times New Roman" w:hAnsi="Times New Roman" w:cs="Times New Roman"/>
          <w:bCs/>
          <w:sz w:val="24"/>
          <w:szCs w:val="24"/>
          <w:lang w:val="ro-MD"/>
        </w:rPr>
        <w:t xml:space="preserve"> evaluează, prin intermediul unor analize de scenarii și al unor simulări de criză adecvate, dacă nivelul fondurilor proprii deţinute pentru expunerile la o CPC, inclusiv la expunerile din credite viitoare potenţiale sau contingente, expunerile la contribuţiile la fondul de garantare și, în cazul în care </w:t>
      </w:r>
      <w:r w:rsidR="00A74EE2">
        <w:rPr>
          <w:rFonts w:ascii="Times New Roman" w:eastAsia="Times New Roman" w:hAnsi="Times New Roman" w:cs="Times New Roman"/>
          <w:bCs/>
          <w:sz w:val="24"/>
          <w:szCs w:val="24"/>
          <w:lang w:val="ro-MD"/>
        </w:rPr>
        <w:t>banca</w:t>
      </w:r>
      <w:r w:rsidRPr="00C603B0">
        <w:rPr>
          <w:rFonts w:ascii="Times New Roman" w:eastAsia="Times New Roman" w:hAnsi="Times New Roman" w:cs="Times New Roman"/>
          <w:bCs/>
          <w:sz w:val="24"/>
          <w:szCs w:val="24"/>
          <w:lang w:val="ro-MD"/>
        </w:rPr>
        <w:t xml:space="preserve"> acţionează în calitate de membru compensator, expunerile rezultate din acorduri contractuale, astfel cum sunt prevăzute la </w:t>
      </w:r>
      <w:bookmarkStart w:id="5" w:name="_Hlk163075936"/>
      <w:r w:rsidR="00FE737A">
        <w:rPr>
          <w:rFonts w:ascii="Times New Roman" w:eastAsia="Times New Roman" w:hAnsi="Times New Roman" w:cs="Times New Roman"/>
          <w:bCs/>
          <w:sz w:val="24"/>
          <w:szCs w:val="24"/>
          <w:lang w:val="ro-MD"/>
        </w:rPr>
        <w:t>secțiunea a 4-a din prezentul capitol</w:t>
      </w:r>
      <w:bookmarkEnd w:id="5"/>
      <w:r w:rsidRPr="00C603B0">
        <w:rPr>
          <w:rFonts w:ascii="Times New Roman" w:eastAsia="Times New Roman" w:hAnsi="Times New Roman" w:cs="Times New Roman"/>
          <w:bCs/>
          <w:sz w:val="24"/>
          <w:szCs w:val="24"/>
          <w:lang w:val="ro-MD"/>
        </w:rPr>
        <w:t>, este corelat în mod corespunzător cu riscurile inerente ale expunerilor respective.</w:t>
      </w:r>
    </w:p>
    <w:p w14:paraId="78F638AD" w14:textId="77777777" w:rsidR="00C603B0" w:rsidRDefault="00C603B0" w:rsidP="00C603B0">
      <w:pPr>
        <w:spacing w:after="0" w:line="240" w:lineRule="auto"/>
        <w:ind w:firstLine="567"/>
        <w:rPr>
          <w:rFonts w:ascii="Times New Roman" w:eastAsia="Times New Roman" w:hAnsi="Times New Roman" w:cs="Times New Roman"/>
          <w:b/>
          <w:sz w:val="24"/>
          <w:szCs w:val="24"/>
          <w:lang w:val="ro-MD"/>
        </w:rPr>
      </w:pPr>
    </w:p>
    <w:p w14:paraId="2D39DC35" w14:textId="68E8E19C" w:rsidR="00A74EE2" w:rsidRDefault="00A74EE2" w:rsidP="00A74EE2">
      <w:pPr>
        <w:spacing w:after="0" w:line="240" w:lineRule="auto"/>
        <w:ind w:firstLine="567"/>
        <w:jc w:val="center"/>
        <w:rPr>
          <w:rFonts w:ascii="Times New Roman" w:eastAsia="Times New Roman" w:hAnsi="Times New Roman" w:cs="Times New Roman"/>
          <w:bCs/>
          <w:i/>
          <w:iCs/>
          <w:sz w:val="24"/>
          <w:szCs w:val="24"/>
          <w:lang w:val="ro-MD"/>
        </w:rPr>
      </w:pPr>
      <w:bookmarkStart w:id="6" w:name="_Hlk162995624"/>
      <w:r w:rsidRPr="00C603B0">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3-</w:t>
      </w:r>
      <w:r w:rsidRPr="00C603B0">
        <w:rPr>
          <w:rFonts w:ascii="Times New Roman" w:eastAsia="Times New Roman" w:hAnsi="Times New Roman" w:cs="Times New Roman"/>
          <w:bCs/>
          <w:i/>
          <w:iCs/>
          <w:sz w:val="24"/>
          <w:szCs w:val="24"/>
          <w:lang w:val="ro-MD"/>
        </w:rPr>
        <w:t>a</w:t>
      </w:r>
    </w:p>
    <w:bookmarkEnd w:id="6"/>
    <w:p w14:paraId="44FCF8A5" w14:textId="06D31F0E" w:rsidR="00C603B0" w:rsidRPr="0042700C" w:rsidRDefault="00A74EE2" w:rsidP="00A74EE2">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Tratamentul expunerilor la CPC-uri ale membrilor compensatori</w:t>
      </w:r>
    </w:p>
    <w:p w14:paraId="5F54365D" w14:textId="5A545D5F" w:rsidR="00A74EE2" w:rsidRPr="00A74EE2" w:rsidRDefault="00A74EE2" w:rsidP="00A74EE2">
      <w:pPr>
        <w:spacing w:after="0" w:line="240" w:lineRule="auto"/>
        <w:ind w:firstLine="567"/>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109. </w:t>
      </w:r>
      <w:r w:rsidRPr="00A74EE2">
        <w:rPr>
          <w:rFonts w:ascii="Times New Roman" w:eastAsia="Times New Roman" w:hAnsi="Times New Roman" w:cs="Times New Roman"/>
          <w:bCs/>
          <w:sz w:val="24"/>
          <w:szCs w:val="24"/>
          <w:lang w:val="ro-MD"/>
        </w:rPr>
        <w:t xml:space="preserve">O </w:t>
      </w:r>
      <w:r>
        <w:rPr>
          <w:rFonts w:ascii="Times New Roman" w:eastAsia="Times New Roman" w:hAnsi="Times New Roman" w:cs="Times New Roman"/>
          <w:bCs/>
          <w:sz w:val="24"/>
          <w:szCs w:val="24"/>
          <w:lang w:val="ro-MD"/>
        </w:rPr>
        <w:t>bancă</w:t>
      </w:r>
      <w:r w:rsidRPr="00A74EE2">
        <w:rPr>
          <w:rFonts w:ascii="Times New Roman" w:eastAsia="Times New Roman" w:hAnsi="Times New Roman" w:cs="Times New Roman"/>
          <w:bCs/>
          <w:sz w:val="24"/>
          <w:szCs w:val="24"/>
          <w:lang w:val="ro-MD"/>
        </w:rPr>
        <w:t xml:space="preserve"> care acţionează ca membru compensator, în scopuri proprii sau în calitate de intermediar financiar între un client și o CPC calculează cerinţele de fonduri proprii pentru expunerile sale faţă de o CPC după cum urmează:</w:t>
      </w:r>
    </w:p>
    <w:p w14:paraId="3CB66E38" w14:textId="5BBF75CC"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1</w:t>
      </w:r>
      <w:r w:rsidR="00A74EE2" w:rsidRPr="00A74EE2">
        <w:rPr>
          <w:rFonts w:ascii="Times New Roman" w:eastAsia="Times New Roman" w:hAnsi="Times New Roman" w:cs="Times New Roman"/>
          <w:bCs/>
          <w:sz w:val="24"/>
          <w:szCs w:val="24"/>
          <w:lang w:val="ro-MD"/>
        </w:rPr>
        <w:t xml:space="preserve">) aplică tratamentul prevăzut la </w:t>
      </w:r>
      <w:r w:rsidR="00FE737A" w:rsidRPr="00FE737A">
        <w:rPr>
          <w:rFonts w:ascii="Times New Roman" w:eastAsia="Times New Roman" w:hAnsi="Times New Roman" w:cs="Times New Roman"/>
          <w:bCs/>
          <w:sz w:val="24"/>
          <w:szCs w:val="24"/>
          <w:lang w:val="ro-MD"/>
        </w:rPr>
        <w:t xml:space="preserve">secțiunea a </w:t>
      </w:r>
      <w:r w:rsidR="00FE737A">
        <w:rPr>
          <w:rFonts w:ascii="Times New Roman" w:eastAsia="Times New Roman" w:hAnsi="Times New Roman" w:cs="Times New Roman"/>
          <w:bCs/>
          <w:sz w:val="24"/>
          <w:szCs w:val="24"/>
          <w:lang w:val="ro-MD"/>
        </w:rPr>
        <w:t>6</w:t>
      </w:r>
      <w:r w:rsidR="00FE737A" w:rsidRPr="00FE737A">
        <w:rPr>
          <w:rFonts w:ascii="Times New Roman" w:eastAsia="Times New Roman" w:hAnsi="Times New Roman" w:cs="Times New Roman"/>
          <w:bCs/>
          <w:sz w:val="24"/>
          <w:szCs w:val="24"/>
          <w:lang w:val="ro-MD"/>
        </w:rPr>
        <w:t>-a din prezentul capitol</w:t>
      </w:r>
      <w:r w:rsidR="00A74EE2" w:rsidRPr="00A74EE2">
        <w:rPr>
          <w:rFonts w:ascii="Times New Roman" w:eastAsia="Times New Roman" w:hAnsi="Times New Roman" w:cs="Times New Roman"/>
          <w:bCs/>
          <w:sz w:val="24"/>
          <w:szCs w:val="24"/>
          <w:lang w:val="ro-MD"/>
        </w:rPr>
        <w:t xml:space="preserve"> expunerilor sale din tranzacţii cu respectiva CPC;</w:t>
      </w:r>
    </w:p>
    <w:p w14:paraId="3DAF2B6B" w14:textId="5D24936F"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2</w:t>
      </w:r>
      <w:r w:rsidR="00A74EE2" w:rsidRPr="00A74EE2">
        <w:rPr>
          <w:rFonts w:ascii="Times New Roman" w:eastAsia="Times New Roman" w:hAnsi="Times New Roman" w:cs="Times New Roman"/>
          <w:bCs/>
          <w:sz w:val="24"/>
          <w:szCs w:val="24"/>
          <w:lang w:val="ro-MD"/>
        </w:rPr>
        <w:t xml:space="preserve">) aplică tratamentul prevăzut la </w:t>
      </w:r>
      <w:r w:rsidR="00FE737A">
        <w:rPr>
          <w:rFonts w:ascii="Times New Roman" w:eastAsia="Times New Roman" w:hAnsi="Times New Roman" w:cs="Times New Roman"/>
          <w:sz w:val="24"/>
          <w:szCs w:val="24"/>
          <w:lang w:val="ro-MD"/>
        </w:rPr>
        <w:t>punctul 126</w:t>
      </w:r>
      <w:r w:rsidR="00FE737A" w:rsidRPr="00376FB0">
        <w:rPr>
          <w:rFonts w:ascii="Times New Roman" w:eastAsia="Times New Roman" w:hAnsi="Times New Roman" w:cs="Times New Roman"/>
          <w:sz w:val="24"/>
          <w:szCs w:val="24"/>
          <w:lang w:val="ro-MD"/>
        </w:rPr>
        <w:t xml:space="preserve"> </w:t>
      </w:r>
      <w:r w:rsidR="00A74EE2" w:rsidRPr="00A74EE2">
        <w:rPr>
          <w:rFonts w:ascii="Times New Roman" w:eastAsia="Times New Roman" w:hAnsi="Times New Roman" w:cs="Times New Roman"/>
          <w:bCs/>
          <w:sz w:val="24"/>
          <w:szCs w:val="24"/>
          <w:lang w:val="ro-MD"/>
        </w:rPr>
        <w:t>contribuţiilor sale la fondul de garantare efectuate către CPC.</w:t>
      </w:r>
    </w:p>
    <w:p w14:paraId="0395EF99" w14:textId="06F420DC" w:rsidR="00C603B0" w:rsidRDefault="00A74EE2" w:rsidP="00A74EE2">
      <w:pPr>
        <w:spacing w:after="0" w:line="240" w:lineRule="auto"/>
        <w:ind w:firstLine="567"/>
        <w:jc w:val="both"/>
        <w:rPr>
          <w:rFonts w:ascii="Times New Roman" w:eastAsia="Times New Roman" w:hAnsi="Times New Roman" w:cs="Times New Roman"/>
          <w:bCs/>
          <w:sz w:val="24"/>
          <w:szCs w:val="24"/>
          <w:lang w:val="ro-MD"/>
        </w:rPr>
      </w:pPr>
      <w:r w:rsidRPr="00A74EE2">
        <w:rPr>
          <w:rFonts w:ascii="Times New Roman" w:eastAsia="Times New Roman" w:hAnsi="Times New Roman" w:cs="Times New Roman"/>
          <w:b/>
          <w:sz w:val="24"/>
          <w:szCs w:val="24"/>
          <w:lang w:val="ro-MD"/>
        </w:rPr>
        <w:t>110.</w:t>
      </w:r>
      <w:r w:rsidRPr="00A74EE2">
        <w:rPr>
          <w:rFonts w:ascii="Times New Roman" w:eastAsia="Times New Roman" w:hAnsi="Times New Roman" w:cs="Times New Roman"/>
          <w:bCs/>
          <w:sz w:val="24"/>
          <w:szCs w:val="24"/>
          <w:lang w:val="ro-MD"/>
        </w:rPr>
        <w:t xml:space="preserve"> În sensul </w:t>
      </w:r>
      <w:r>
        <w:rPr>
          <w:rFonts w:ascii="Times New Roman" w:eastAsia="Times New Roman" w:hAnsi="Times New Roman" w:cs="Times New Roman"/>
          <w:bCs/>
          <w:sz w:val="24"/>
          <w:szCs w:val="24"/>
          <w:lang w:val="ro-MD"/>
        </w:rPr>
        <w:t>punctului 109</w:t>
      </w:r>
      <w:r w:rsidRPr="00A74EE2">
        <w:rPr>
          <w:rFonts w:ascii="Times New Roman" w:eastAsia="Times New Roman" w:hAnsi="Times New Roman" w:cs="Times New Roman"/>
          <w:bCs/>
          <w:sz w:val="24"/>
          <w:szCs w:val="24"/>
          <w:lang w:val="ro-MD"/>
        </w:rPr>
        <w:t xml:space="preserve">, suma cerinţelor de fonduri proprii ale unei </w:t>
      </w:r>
      <w:r>
        <w:rPr>
          <w:rFonts w:ascii="Times New Roman" w:eastAsia="Times New Roman" w:hAnsi="Times New Roman" w:cs="Times New Roman"/>
          <w:bCs/>
          <w:sz w:val="24"/>
          <w:szCs w:val="24"/>
          <w:lang w:val="ro-MD"/>
        </w:rPr>
        <w:t xml:space="preserve">bănci </w:t>
      </w:r>
      <w:r w:rsidRPr="00A74EE2">
        <w:rPr>
          <w:rFonts w:ascii="Times New Roman" w:eastAsia="Times New Roman" w:hAnsi="Times New Roman" w:cs="Times New Roman"/>
          <w:bCs/>
          <w:sz w:val="24"/>
          <w:szCs w:val="24"/>
          <w:lang w:val="ro-MD"/>
        </w:rPr>
        <w:t>pentru expunerile sale faţă de o CPCC generate de expunerile din tranzacţii și de contribuţiile la fondul de garantare face obiectul unui plafon egal cu suma cerinţelor de fonduri proprii care s- ar aplica expunerilor respective dacă CPC ar fi o CPC necalificată.</w:t>
      </w:r>
    </w:p>
    <w:p w14:paraId="550606D8" w14:textId="77777777" w:rsidR="00A74EE2" w:rsidRDefault="00A74EE2" w:rsidP="00A74EE2">
      <w:pPr>
        <w:spacing w:after="0" w:line="240" w:lineRule="auto"/>
        <w:ind w:firstLine="567"/>
        <w:jc w:val="both"/>
        <w:rPr>
          <w:rFonts w:ascii="Times New Roman" w:eastAsia="Times New Roman" w:hAnsi="Times New Roman" w:cs="Times New Roman"/>
          <w:bCs/>
          <w:sz w:val="24"/>
          <w:szCs w:val="24"/>
          <w:lang w:val="ro-MD"/>
        </w:rPr>
      </w:pPr>
    </w:p>
    <w:p w14:paraId="79A8354D" w14:textId="7639499E" w:rsidR="00A74EE2" w:rsidRDefault="00A74EE2" w:rsidP="00A74EE2">
      <w:pPr>
        <w:spacing w:after="0" w:line="240" w:lineRule="auto"/>
        <w:ind w:firstLine="567"/>
        <w:jc w:val="center"/>
        <w:rPr>
          <w:rFonts w:ascii="Times New Roman" w:eastAsia="Times New Roman" w:hAnsi="Times New Roman" w:cs="Times New Roman"/>
          <w:bCs/>
          <w:i/>
          <w:iCs/>
          <w:sz w:val="24"/>
          <w:szCs w:val="24"/>
          <w:lang w:val="ro-MD"/>
        </w:rPr>
      </w:pPr>
      <w:r w:rsidRPr="00A74EE2">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4</w:t>
      </w:r>
      <w:r w:rsidRPr="00A74EE2">
        <w:rPr>
          <w:rFonts w:ascii="Times New Roman" w:eastAsia="Times New Roman" w:hAnsi="Times New Roman" w:cs="Times New Roman"/>
          <w:bCs/>
          <w:i/>
          <w:iCs/>
          <w:sz w:val="24"/>
          <w:szCs w:val="24"/>
          <w:lang w:val="ro-MD"/>
        </w:rPr>
        <w:t>-a</w:t>
      </w:r>
    </w:p>
    <w:p w14:paraId="17745334" w14:textId="0065105B" w:rsidR="00A74EE2" w:rsidRPr="0042700C" w:rsidRDefault="00A74EE2" w:rsidP="00A74EE2">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Tratamentul expunerilor membrilor compensatori la clienţi</w:t>
      </w:r>
    </w:p>
    <w:p w14:paraId="3A01B789" w14:textId="665044E6" w:rsidR="00A74EE2" w:rsidRDefault="00A74EE2" w:rsidP="00025B35">
      <w:pPr>
        <w:spacing w:after="0" w:line="240" w:lineRule="auto"/>
        <w:ind w:firstLine="567"/>
        <w:jc w:val="both"/>
        <w:rPr>
          <w:rFonts w:ascii="Times New Roman" w:eastAsia="Times New Roman" w:hAnsi="Times New Roman" w:cs="Times New Roman"/>
          <w:bCs/>
          <w:sz w:val="24"/>
          <w:szCs w:val="24"/>
          <w:lang w:val="ro-MD"/>
        </w:rPr>
      </w:pPr>
      <w:r w:rsidRPr="00A74EE2">
        <w:rPr>
          <w:rFonts w:ascii="Times New Roman" w:eastAsia="Times New Roman" w:hAnsi="Times New Roman" w:cs="Times New Roman"/>
          <w:b/>
          <w:sz w:val="24"/>
          <w:szCs w:val="24"/>
          <w:lang w:val="ro-MD"/>
        </w:rPr>
        <w:t>111.</w:t>
      </w:r>
      <w:r>
        <w:rPr>
          <w:rFonts w:ascii="Times New Roman" w:eastAsia="Times New Roman" w:hAnsi="Times New Roman" w:cs="Times New Roman"/>
          <w:b/>
          <w:sz w:val="24"/>
          <w:szCs w:val="24"/>
          <w:lang w:val="ro-MD"/>
        </w:rPr>
        <w:t xml:space="preserve"> </w:t>
      </w:r>
      <w:r w:rsidRPr="00A74EE2">
        <w:rPr>
          <w:rFonts w:ascii="Times New Roman" w:eastAsia="Times New Roman" w:hAnsi="Times New Roman" w:cs="Times New Roman"/>
          <w:bCs/>
          <w:sz w:val="24"/>
          <w:szCs w:val="24"/>
          <w:lang w:val="ro-MD"/>
        </w:rPr>
        <w:t>O bancă care acţionează ca membru compensator și care, în această calitate, acţionează ca intermediar financiar între un client și o CPC calculează cerinţele de fonduri proprii pentru tranzacţiile sale cu clientul respectiv legate de CPC în conformitate cu</w:t>
      </w:r>
      <w:r w:rsidR="00FE737A">
        <w:rPr>
          <w:rFonts w:ascii="Times New Roman" w:eastAsia="Times New Roman" w:hAnsi="Times New Roman" w:cs="Times New Roman"/>
          <w:bCs/>
          <w:sz w:val="24"/>
          <w:szCs w:val="24"/>
          <w:lang w:val="ro-MD"/>
        </w:rPr>
        <w:t xml:space="preserve"> </w:t>
      </w:r>
      <w:bookmarkStart w:id="7" w:name="_Hlk163077722"/>
      <w:r w:rsidR="00FE737A">
        <w:rPr>
          <w:rFonts w:ascii="Times New Roman" w:eastAsia="Times New Roman" w:hAnsi="Times New Roman" w:cs="Times New Roman"/>
          <w:bCs/>
          <w:sz w:val="24"/>
          <w:szCs w:val="24"/>
          <w:lang w:val="ro-MD"/>
        </w:rPr>
        <w:t>capitol</w:t>
      </w:r>
      <w:r w:rsidR="00CC0B83">
        <w:rPr>
          <w:rFonts w:ascii="Times New Roman" w:eastAsia="Times New Roman" w:hAnsi="Times New Roman" w:cs="Times New Roman"/>
          <w:bCs/>
          <w:sz w:val="24"/>
          <w:szCs w:val="24"/>
          <w:lang w:val="ro-MD"/>
        </w:rPr>
        <w:t>e</w:t>
      </w:r>
      <w:r w:rsidR="00FE737A">
        <w:rPr>
          <w:rFonts w:ascii="Times New Roman" w:eastAsia="Times New Roman" w:hAnsi="Times New Roman" w:cs="Times New Roman"/>
          <w:bCs/>
          <w:sz w:val="24"/>
          <w:szCs w:val="24"/>
          <w:lang w:val="ro-MD"/>
        </w:rPr>
        <w:t>l</w:t>
      </w:r>
      <w:r w:rsidR="00CC0B83">
        <w:rPr>
          <w:rFonts w:ascii="Times New Roman" w:eastAsia="Times New Roman" w:hAnsi="Times New Roman" w:cs="Times New Roman"/>
          <w:bCs/>
          <w:sz w:val="24"/>
          <w:szCs w:val="24"/>
          <w:lang w:val="ro-MD"/>
        </w:rPr>
        <w:t>e</w:t>
      </w:r>
      <w:r w:rsidR="00FE737A">
        <w:rPr>
          <w:rFonts w:ascii="Times New Roman" w:eastAsia="Times New Roman" w:hAnsi="Times New Roman" w:cs="Times New Roman"/>
          <w:bCs/>
          <w:sz w:val="24"/>
          <w:szCs w:val="24"/>
          <w:lang w:val="ro-MD"/>
        </w:rPr>
        <w:t xml:space="preserve"> I - </w:t>
      </w:r>
      <w:r w:rsidR="00FE737A" w:rsidRPr="00FE737A">
        <w:rPr>
          <w:rFonts w:ascii="Times New Roman" w:eastAsia="Times New Roman" w:hAnsi="Times New Roman" w:cs="Times New Roman"/>
          <w:bCs/>
          <w:sz w:val="24"/>
          <w:szCs w:val="24"/>
          <w:lang w:val="ro-MD"/>
        </w:rPr>
        <w:t>VII</w:t>
      </w:r>
      <w:r w:rsidRPr="00FE737A">
        <w:rPr>
          <w:rFonts w:ascii="Times New Roman" w:eastAsia="Times New Roman" w:hAnsi="Times New Roman" w:cs="Times New Roman"/>
          <w:bCs/>
          <w:sz w:val="24"/>
          <w:szCs w:val="24"/>
          <w:lang w:val="ro-MD"/>
        </w:rPr>
        <w:t xml:space="preserve"> din prezentul </w:t>
      </w:r>
      <w:r w:rsidR="00FE737A">
        <w:rPr>
          <w:rFonts w:ascii="Times New Roman" w:eastAsia="Times New Roman" w:hAnsi="Times New Roman" w:cs="Times New Roman"/>
          <w:bCs/>
          <w:sz w:val="24"/>
          <w:szCs w:val="24"/>
          <w:lang w:val="ro-MD"/>
        </w:rPr>
        <w:t>regulament</w:t>
      </w:r>
      <w:bookmarkEnd w:id="7"/>
      <w:r w:rsidRPr="00A74EE2">
        <w:rPr>
          <w:rFonts w:ascii="Times New Roman" w:eastAsia="Times New Roman" w:hAnsi="Times New Roman" w:cs="Times New Roman"/>
          <w:bCs/>
          <w:sz w:val="24"/>
          <w:szCs w:val="24"/>
          <w:lang w:val="ro-MD"/>
        </w:rPr>
        <w:t xml:space="preserve">, cu </w:t>
      </w:r>
      <w:r w:rsidR="00025B35">
        <w:rPr>
          <w:rFonts w:ascii="Times New Roman" w:eastAsia="Times New Roman" w:hAnsi="Times New Roman" w:cs="Times New Roman"/>
          <w:bCs/>
          <w:sz w:val="24"/>
          <w:szCs w:val="24"/>
          <w:lang w:val="ro-MD"/>
        </w:rPr>
        <w:t xml:space="preserve">prevederile </w:t>
      </w:r>
      <w:r w:rsidR="00025B35" w:rsidRPr="00025B35">
        <w:rPr>
          <w:rFonts w:ascii="Times New Roman" w:eastAsia="Times New Roman" w:hAnsi="Times New Roman" w:cs="Times New Roman"/>
          <w:bCs/>
          <w:sz w:val="24"/>
          <w:szCs w:val="24"/>
          <w:lang w:val="ro-MD"/>
        </w:rPr>
        <w:t xml:space="preserve">Regulamentului </w:t>
      </w:r>
      <w:r w:rsidR="00025B35">
        <w:rPr>
          <w:rFonts w:ascii="Times New Roman" w:eastAsia="Times New Roman" w:hAnsi="Times New Roman" w:cs="Times New Roman"/>
          <w:bCs/>
          <w:sz w:val="24"/>
          <w:szCs w:val="24"/>
          <w:lang w:val="ro-MD"/>
        </w:rPr>
        <w:t xml:space="preserve">nr.112/2018 </w:t>
      </w:r>
      <w:r w:rsidR="00025B35" w:rsidRPr="00025B35">
        <w:rPr>
          <w:rFonts w:ascii="Times New Roman" w:eastAsia="Times New Roman" w:hAnsi="Times New Roman" w:cs="Times New Roman"/>
          <w:bCs/>
          <w:sz w:val="24"/>
          <w:szCs w:val="24"/>
          <w:lang w:val="ro-MD"/>
        </w:rPr>
        <w:t>cu privire la tehnicile</w:t>
      </w:r>
      <w:r w:rsidR="00025B35">
        <w:rPr>
          <w:rFonts w:ascii="Times New Roman" w:eastAsia="Times New Roman" w:hAnsi="Times New Roman" w:cs="Times New Roman"/>
          <w:bCs/>
          <w:sz w:val="24"/>
          <w:szCs w:val="24"/>
          <w:lang w:val="ro-MD"/>
        </w:rPr>
        <w:t xml:space="preserve"> </w:t>
      </w:r>
      <w:r w:rsidR="00025B35" w:rsidRPr="00025B35">
        <w:rPr>
          <w:rFonts w:ascii="Times New Roman" w:eastAsia="Times New Roman" w:hAnsi="Times New Roman" w:cs="Times New Roman"/>
          <w:bCs/>
          <w:sz w:val="24"/>
          <w:szCs w:val="24"/>
          <w:lang w:val="ro-MD"/>
        </w:rPr>
        <w:t>de diminuare a riscului de credit utilizate de bănci</w:t>
      </w:r>
      <w:r w:rsidRPr="00025B35">
        <w:rPr>
          <w:rFonts w:ascii="Times New Roman" w:eastAsia="Times New Roman" w:hAnsi="Times New Roman" w:cs="Times New Roman"/>
          <w:bCs/>
          <w:sz w:val="24"/>
          <w:szCs w:val="24"/>
          <w:lang w:val="ro-MD"/>
        </w:rPr>
        <w:t xml:space="preserve"> și </w:t>
      </w:r>
      <w:r w:rsidR="00597D47">
        <w:rPr>
          <w:rFonts w:ascii="Times New Roman" w:eastAsia="Times New Roman" w:hAnsi="Times New Roman" w:cs="Times New Roman"/>
          <w:bCs/>
          <w:sz w:val="24"/>
          <w:szCs w:val="24"/>
          <w:lang w:val="ro-MD"/>
        </w:rPr>
        <w:t xml:space="preserve">ale </w:t>
      </w:r>
      <w:r w:rsidR="00025B35" w:rsidRPr="00025B35">
        <w:rPr>
          <w:rFonts w:ascii="Times New Roman" w:eastAsia="Times New Roman" w:hAnsi="Times New Roman" w:cs="Times New Roman"/>
          <w:bCs/>
          <w:sz w:val="24"/>
          <w:szCs w:val="24"/>
          <w:lang w:val="ro-MD"/>
        </w:rPr>
        <w:t xml:space="preserve">Regulamentului </w:t>
      </w:r>
      <w:r w:rsidR="00025B35">
        <w:rPr>
          <w:rFonts w:ascii="Times New Roman" w:eastAsia="Times New Roman" w:hAnsi="Times New Roman" w:cs="Times New Roman"/>
          <w:bCs/>
          <w:sz w:val="24"/>
          <w:szCs w:val="24"/>
          <w:lang w:val="ro-MD"/>
        </w:rPr>
        <w:t xml:space="preserve">nr.103/2020 </w:t>
      </w:r>
      <w:r w:rsidR="00025B35" w:rsidRPr="00025B35">
        <w:rPr>
          <w:rFonts w:ascii="Times New Roman" w:eastAsia="Times New Roman" w:hAnsi="Times New Roman" w:cs="Times New Roman"/>
          <w:bCs/>
          <w:sz w:val="24"/>
          <w:szCs w:val="24"/>
          <w:lang w:val="ro-MD"/>
        </w:rPr>
        <w:t>cu privire la tratamentul</w:t>
      </w:r>
      <w:r w:rsidR="00025B35">
        <w:rPr>
          <w:rFonts w:ascii="Times New Roman" w:eastAsia="Times New Roman" w:hAnsi="Times New Roman" w:cs="Times New Roman"/>
          <w:bCs/>
          <w:sz w:val="24"/>
          <w:szCs w:val="24"/>
          <w:lang w:val="ro-MD"/>
        </w:rPr>
        <w:t xml:space="preserve"> </w:t>
      </w:r>
      <w:r w:rsidR="00025B35" w:rsidRPr="00025B35">
        <w:rPr>
          <w:rFonts w:ascii="Times New Roman" w:eastAsia="Times New Roman" w:hAnsi="Times New Roman" w:cs="Times New Roman"/>
          <w:bCs/>
          <w:sz w:val="24"/>
          <w:szCs w:val="24"/>
          <w:lang w:val="ro-MD"/>
        </w:rPr>
        <w:t>riscului de ajustare a evaluării creditului pentru bănci</w:t>
      </w:r>
      <w:r w:rsidRPr="00A74EE2">
        <w:rPr>
          <w:rFonts w:ascii="Times New Roman" w:eastAsia="Times New Roman" w:hAnsi="Times New Roman" w:cs="Times New Roman"/>
          <w:bCs/>
          <w:sz w:val="24"/>
          <w:szCs w:val="24"/>
          <w:lang w:val="ro-MD"/>
        </w:rPr>
        <w:t>, după caz.</w:t>
      </w:r>
    </w:p>
    <w:p w14:paraId="523B6BF8" w14:textId="54AED629" w:rsidR="00A74EE2" w:rsidRPr="00A74EE2" w:rsidRDefault="00A74EE2" w:rsidP="00A74EE2">
      <w:pPr>
        <w:spacing w:after="0" w:line="240" w:lineRule="auto"/>
        <w:ind w:firstLine="567"/>
        <w:jc w:val="both"/>
        <w:rPr>
          <w:rFonts w:ascii="Times New Roman" w:eastAsia="Times New Roman" w:hAnsi="Times New Roman" w:cs="Times New Roman"/>
          <w:bCs/>
          <w:sz w:val="24"/>
          <w:szCs w:val="24"/>
          <w:lang w:val="ro-MD"/>
        </w:rPr>
      </w:pPr>
      <w:r w:rsidRPr="00A74EE2">
        <w:rPr>
          <w:rFonts w:ascii="Times New Roman" w:eastAsia="Times New Roman" w:hAnsi="Times New Roman" w:cs="Times New Roman"/>
          <w:b/>
          <w:sz w:val="24"/>
          <w:szCs w:val="24"/>
          <w:lang w:val="ro-MD"/>
        </w:rPr>
        <w:t>112.</w:t>
      </w:r>
      <w:r>
        <w:rPr>
          <w:rFonts w:ascii="Times New Roman" w:eastAsia="Times New Roman" w:hAnsi="Times New Roman" w:cs="Times New Roman"/>
          <w:bCs/>
          <w:sz w:val="24"/>
          <w:szCs w:val="24"/>
          <w:lang w:val="ro-MD"/>
        </w:rPr>
        <w:t xml:space="preserve"> </w:t>
      </w:r>
      <w:r w:rsidRPr="00A74EE2">
        <w:rPr>
          <w:rFonts w:ascii="Times New Roman" w:eastAsia="Times New Roman" w:hAnsi="Times New Roman" w:cs="Times New Roman"/>
          <w:bCs/>
          <w:sz w:val="24"/>
          <w:szCs w:val="24"/>
          <w:lang w:val="ro-MD"/>
        </w:rPr>
        <w:t xml:space="preserve">Dacă o </w:t>
      </w:r>
      <w:r>
        <w:rPr>
          <w:rFonts w:ascii="Times New Roman" w:eastAsia="Times New Roman" w:hAnsi="Times New Roman" w:cs="Times New Roman"/>
          <w:bCs/>
          <w:sz w:val="24"/>
          <w:szCs w:val="24"/>
          <w:lang w:val="ro-MD"/>
        </w:rPr>
        <w:t>bancă</w:t>
      </w:r>
      <w:r w:rsidRPr="00A74EE2">
        <w:rPr>
          <w:rFonts w:ascii="Times New Roman" w:eastAsia="Times New Roman" w:hAnsi="Times New Roman" w:cs="Times New Roman"/>
          <w:bCs/>
          <w:sz w:val="24"/>
          <w:szCs w:val="24"/>
          <w:lang w:val="ro-MD"/>
        </w:rPr>
        <w:t xml:space="preserve"> care acţionează ca membru compensator încheie un acord contractual cu un client al unui alt membru compensator care facilitează clientului respectiv, transferul poziţiilor și al garanţiilor reale menţionate la</w:t>
      </w:r>
      <w:r w:rsidR="00EA60D7">
        <w:rPr>
          <w:rFonts w:ascii="Times New Roman" w:eastAsia="Times New Roman" w:hAnsi="Times New Roman" w:cs="Times New Roman"/>
          <w:bCs/>
          <w:sz w:val="24"/>
          <w:szCs w:val="24"/>
          <w:lang w:val="ro-MD"/>
        </w:rPr>
        <w:t xml:space="preserve"> punctul 119 subpunctul 2) </w:t>
      </w:r>
      <w:r w:rsidRPr="00A74EE2">
        <w:rPr>
          <w:rFonts w:ascii="Times New Roman" w:eastAsia="Times New Roman" w:hAnsi="Times New Roman" w:cs="Times New Roman"/>
          <w:bCs/>
          <w:sz w:val="24"/>
          <w:szCs w:val="24"/>
          <w:lang w:val="ro-MD"/>
        </w:rPr>
        <w:t xml:space="preserve">din prezentul regulament și dacă respectivul acord contractual antrenează o obligaţie contingentă pentru respectiva </w:t>
      </w:r>
      <w:r>
        <w:rPr>
          <w:rFonts w:ascii="Times New Roman" w:eastAsia="Times New Roman" w:hAnsi="Times New Roman" w:cs="Times New Roman"/>
          <w:bCs/>
          <w:sz w:val="24"/>
          <w:szCs w:val="24"/>
          <w:lang w:val="ro-MD"/>
        </w:rPr>
        <w:t>bancă</w:t>
      </w:r>
      <w:r w:rsidRPr="00A74EE2">
        <w:rPr>
          <w:rFonts w:ascii="Times New Roman" w:eastAsia="Times New Roman" w:hAnsi="Times New Roman" w:cs="Times New Roman"/>
          <w:bCs/>
          <w:sz w:val="24"/>
          <w:szCs w:val="24"/>
          <w:lang w:val="ro-MD"/>
        </w:rPr>
        <w:t xml:space="preserve">, </w:t>
      </w:r>
      <w:r>
        <w:rPr>
          <w:rFonts w:ascii="Times New Roman" w:eastAsia="Times New Roman" w:hAnsi="Times New Roman" w:cs="Times New Roman"/>
          <w:bCs/>
          <w:sz w:val="24"/>
          <w:szCs w:val="24"/>
          <w:lang w:val="ro-MD"/>
        </w:rPr>
        <w:t xml:space="preserve">banca </w:t>
      </w:r>
      <w:r w:rsidRPr="00A74EE2">
        <w:rPr>
          <w:rFonts w:ascii="Times New Roman" w:eastAsia="Times New Roman" w:hAnsi="Times New Roman" w:cs="Times New Roman"/>
          <w:bCs/>
          <w:sz w:val="24"/>
          <w:szCs w:val="24"/>
          <w:lang w:val="ro-MD"/>
        </w:rPr>
        <w:t xml:space="preserve">poate atribui o valoare a expunerii egală cu zero obligaţiei contingente respective. </w:t>
      </w:r>
    </w:p>
    <w:p w14:paraId="4CA9EF98" w14:textId="45C6F4D4" w:rsidR="00A74EE2" w:rsidRPr="00A74EE2" w:rsidRDefault="00A74EE2" w:rsidP="00A74EE2">
      <w:pPr>
        <w:spacing w:after="0" w:line="240" w:lineRule="auto"/>
        <w:ind w:firstLine="567"/>
        <w:jc w:val="both"/>
        <w:rPr>
          <w:rFonts w:ascii="Times New Roman" w:eastAsia="Times New Roman" w:hAnsi="Times New Roman" w:cs="Times New Roman"/>
          <w:bCs/>
          <w:sz w:val="24"/>
          <w:szCs w:val="24"/>
          <w:lang w:val="ro-MD"/>
        </w:rPr>
      </w:pPr>
      <w:r w:rsidRPr="00A74EE2">
        <w:rPr>
          <w:rFonts w:ascii="Times New Roman" w:eastAsia="Times New Roman" w:hAnsi="Times New Roman" w:cs="Times New Roman"/>
          <w:b/>
          <w:sz w:val="24"/>
          <w:szCs w:val="24"/>
          <w:lang w:val="ro-MD"/>
        </w:rPr>
        <w:t>113.</w:t>
      </w:r>
      <w:r w:rsidRPr="00A74EE2">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Pr="00A74EE2">
        <w:rPr>
          <w:rFonts w:ascii="Times New Roman" w:eastAsia="Times New Roman" w:hAnsi="Times New Roman" w:cs="Times New Roman"/>
          <w:bCs/>
          <w:sz w:val="24"/>
          <w:szCs w:val="24"/>
          <w:lang w:val="ro-MD"/>
        </w:rPr>
        <w:t xml:space="preserve"> care acţionează ca membru compensator utilizează metodele prevăzute în </w:t>
      </w:r>
      <w:r w:rsidR="00EA60D7" w:rsidRPr="00EA60D7">
        <w:rPr>
          <w:rFonts w:ascii="Times New Roman" w:eastAsia="Times New Roman" w:hAnsi="Times New Roman" w:cs="Times New Roman"/>
          <w:bCs/>
          <w:sz w:val="24"/>
          <w:szCs w:val="24"/>
          <w:lang w:val="ro-MD"/>
        </w:rPr>
        <w:t>capitolul III din</w:t>
      </w:r>
      <w:r w:rsidRPr="00EA60D7">
        <w:rPr>
          <w:rFonts w:ascii="Times New Roman" w:eastAsia="Times New Roman" w:hAnsi="Times New Roman" w:cs="Times New Roman"/>
          <w:bCs/>
          <w:sz w:val="24"/>
          <w:szCs w:val="24"/>
          <w:lang w:val="ro-MD"/>
        </w:rPr>
        <w:t xml:space="preserve"> prezentul </w:t>
      </w:r>
      <w:r w:rsidR="00EA60D7">
        <w:rPr>
          <w:rFonts w:ascii="Times New Roman" w:eastAsia="Times New Roman" w:hAnsi="Times New Roman" w:cs="Times New Roman"/>
          <w:bCs/>
          <w:sz w:val="24"/>
          <w:szCs w:val="24"/>
          <w:lang w:val="ro-MD"/>
        </w:rPr>
        <w:t>regulament</w:t>
      </w:r>
      <w:r w:rsidRPr="00A74EE2">
        <w:rPr>
          <w:rFonts w:ascii="Times New Roman" w:eastAsia="Times New Roman" w:hAnsi="Times New Roman" w:cs="Times New Roman"/>
          <w:bCs/>
          <w:sz w:val="24"/>
          <w:szCs w:val="24"/>
          <w:lang w:val="ro-MD"/>
        </w:rPr>
        <w:t xml:space="preserve"> pentru a calcula cerinţa de fonduri proprii pentru expunerile sale, se aplică următoarele dispoziţii:</w:t>
      </w:r>
    </w:p>
    <w:p w14:paraId="2E5986A4" w14:textId="7CC9CBB0"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1</w:t>
      </w:r>
      <w:r w:rsidR="00A74EE2" w:rsidRPr="00A74EE2">
        <w:rPr>
          <w:rFonts w:ascii="Times New Roman" w:eastAsia="Times New Roman" w:hAnsi="Times New Roman" w:cs="Times New Roman"/>
          <w:bCs/>
          <w:sz w:val="24"/>
          <w:szCs w:val="24"/>
          <w:lang w:val="ro-MD"/>
        </w:rPr>
        <w:t xml:space="preserve">) </w:t>
      </w:r>
      <w:r w:rsidR="00A74EE2">
        <w:rPr>
          <w:rFonts w:ascii="Times New Roman" w:eastAsia="Times New Roman" w:hAnsi="Times New Roman" w:cs="Times New Roman"/>
          <w:bCs/>
          <w:sz w:val="24"/>
          <w:szCs w:val="24"/>
          <w:lang w:val="ro-MD"/>
        </w:rPr>
        <w:t>banca</w:t>
      </w:r>
      <w:r w:rsidR="00A74EE2" w:rsidRPr="00A74EE2">
        <w:rPr>
          <w:rFonts w:ascii="Times New Roman" w:eastAsia="Times New Roman" w:hAnsi="Times New Roman" w:cs="Times New Roman"/>
          <w:bCs/>
          <w:sz w:val="24"/>
          <w:szCs w:val="24"/>
          <w:lang w:val="ro-MD"/>
        </w:rPr>
        <w:t xml:space="preserve"> poate utiliza o perioadă de risc de marjă de cel puţin cinci zile lucrătoare pentru expunerile sale la un client;</w:t>
      </w:r>
    </w:p>
    <w:p w14:paraId="3B8F150D" w14:textId="0E5D1A0D"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lastRenderedPageBreak/>
        <w:t>2</w:t>
      </w:r>
      <w:r w:rsidR="00A74EE2" w:rsidRPr="00A74EE2">
        <w:rPr>
          <w:rFonts w:ascii="Times New Roman" w:eastAsia="Times New Roman" w:hAnsi="Times New Roman" w:cs="Times New Roman"/>
          <w:bCs/>
          <w:sz w:val="24"/>
          <w:szCs w:val="24"/>
          <w:lang w:val="ro-MD"/>
        </w:rPr>
        <w:t xml:space="preserve">) </w:t>
      </w:r>
      <w:r>
        <w:rPr>
          <w:rFonts w:ascii="Times New Roman" w:eastAsia="Times New Roman" w:hAnsi="Times New Roman" w:cs="Times New Roman"/>
          <w:bCs/>
          <w:sz w:val="24"/>
          <w:szCs w:val="24"/>
          <w:lang w:val="ro-MD"/>
        </w:rPr>
        <w:t>banca</w:t>
      </w:r>
      <w:r w:rsidR="00A74EE2" w:rsidRPr="00A74EE2">
        <w:rPr>
          <w:rFonts w:ascii="Times New Roman" w:eastAsia="Times New Roman" w:hAnsi="Times New Roman" w:cs="Times New Roman"/>
          <w:bCs/>
          <w:sz w:val="24"/>
          <w:szCs w:val="24"/>
          <w:lang w:val="ro-MD"/>
        </w:rPr>
        <w:t xml:space="preserve"> aplică o perioadă de risc de marjă de cel puţin 10 zile lucrătoare pentru expunerile sale la o CPC;</w:t>
      </w:r>
    </w:p>
    <w:p w14:paraId="7B275488" w14:textId="64981A0B"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3</w:t>
      </w:r>
      <w:r w:rsidR="00A74EE2" w:rsidRPr="00A74EE2">
        <w:rPr>
          <w:rFonts w:ascii="Times New Roman" w:eastAsia="Times New Roman" w:hAnsi="Times New Roman" w:cs="Times New Roman"/>
          <w:bCs/>
          <w:sz w:val="24"/>
          <w:szCs w:val="24"/>
          <w:lang w:val="ro-MD"/>
        </w:rPr>
        <w:t xml:space="preserve">) în cazul în care un set de compensare inclus în calcul îndeplinește condiţia prevăzută la </w:t>
      </w:r>
      <w:r>
        <w:rPr>
          <w:rFonts w:ascii="Times New Roman" w:eastAsia="Times New Roman" w:hAnsi="Times New Roman" w:cs="Times New Roman"/>
          <w:bCs/>
          <w:sz w:val="24"/>
          <w:szCs w:val="24"/>
          <w:lang w:val="ro-MD"/>
        </w:rPr>
        <w:t>subpunctul 1</w:t>
      </w:r>
      <w:r w:rsidR="00A74EE2" w:rsidRPr="00A74EE2">
        <w:rPr>
          <w:rFonts w:ascii="Times New Roman" w:eastAsia="Times New Roman" w:hAnsi="Times New Roman" w:cs="Times New Roman"/>
          <w:bCs/>
          <w:sz w:val="24"/>
          <w:szCs w:val="24"/>
          <w:lang w:val="ro-MD"/>
        </w:rPr>
        <w:t xml:space="preserve">) de la </w:t>
      </w:r>
      <w:r>
        <w:rPr>
          <w:rFonts w:ascii="Times New Roman" w:eastAsia="Times New Roman" w:hAnsi="Times New Roman" w:cs="Times New Roman"/>
          <w:bCs/>
          <w:sz w:val="24"/>
          <w:szCs w:val="24"/>
          <w:lang w:val="ro-MD"/>
        </w:rPr>
        <w:t>punctul</w:t>
      </w:r>
      <w:r w:rsidR="00A74EE2" w:rsidRPr="00A74EE2">
        <w:rPr>
          <w:rFonts w:ascii="Times New Roman" w:eastAsia="Times New Roman" w:hAnsi="Times New Roman" w:cs="Times New Roman"/>
          <w:bCs/>
          <w:sz w:val="24"/>
          <w:szCs w:val="24"/>
          <w:lang w:val="ro-MD"/>
        </w:rPr>
        <w:t xml:space="preserve"> respectiv,</w:t>
      </w:r>
      <w:r>
        <w:rPr>
          <w:rFonts w:ascii="Times New Roman" w:eastAsia="Times New Roman" w:hAnsi="Times New Roman" w:cs="Times New Roman"/>
          <w:bCs/>
          <w:sz w:val="24"/>
          <w:szCs w:val="24"/>
          <w:lang w:val="ro-MD"/>
        </w:rPr>
        <w:t xml:space="preserve"> banca</w:t>
      </w:r>
      <w:r w:rsidR="00A74EE2" w:rsidRPr="00A74EE2">
        <w:rPr>
          <w:rFonts w:ascii="Times New Roman" w:eastAsia="Times New Roman" w:hAnsi="Times New Roman" w:cs="Times New Roman"/>
          <w:bCs/>
          <w:sz w:val="24"/>
          <w:szCs w:val="24"/>
          <w:lang w:val="ro-MD"/>
        </w:rPr>
        <w:t xml:space="preserve"> poate să nu ţină seama de limita stabilită la </w:t>
      </w:r>
      <w:r>
        <w:rPr>
          <w:rFonts w:ascii="Times New Roman" w:eastAsia="Times New Roman" w:hAnsi="Times New Roman" w:cs="Times New Roman"/>
          <w:bCs/>
          <w:sz w:val="24"/>
          <w:szCs w:val="24"/>
          <w:lang w:val="ro-MD"/>
        </w:rPr>
        <w:t>subpunctul</w:t>
      </w:r>
      <w:r w:rsidR="00A74EE2" w:rsidRPr="00A74EE2">
        <w:rPr>
          <w:rFonts w:ascii="Times New Roman" w:eastAsia="Times New Roman" w:hAnsi="Times New Roman" w:cs="Times New Roman"/>
          <w:bCs/>
          <w:sz w:val="24"/>
          <w:szCs w:val="24"/>
          <w:lang w:val="ro-MD"/>
        </w:rPr>
        <w:t xml:space="preserve"> respectiv, cu condiţia ca setul de compensare să nu îndeplinească cerinţa prevăzută la </w:t>
      </w:r>
      <w:r>
        <w:rPr>
          <w:rFonts w:ascii="Times New Roman" w:eastAsia="Times New Roman" w:hAnsi="Times New Roman" w:cs="Times New Roman"/>
          <w:bCs/>
          <w:sz w:val="24"/>
          <w:szCs w:val="24"/>
          <w:lang w:val="ro-MD"/>
        </w:rPr>
        <w:t>subpunctul 2</w:t>
      </w:r>
      <w:r w:rsidR="00A74EE2" w:rsidRPr="00A74EE2">
        <w:rPr>
          <w:rFonts w:ascii="Times New Roman" w:eastAsia="Times New Roman" w:hAnsi="Times New Roman" w:cs="Times New Roman"/>
          <w:bCs/>
          <w:sz w:val="24"/>
          <w:szCs w:val="24"/>
          <w:lang w:val="ro-MD"/>
        </w:rPr>
        <w:t xml:space="preserve">) de la </w:t>
      </w:r>
      <w:r>
        <w:rPr>
          <w:rFonts w:ascii="Times New Roman" w:eastAsia="Times New Roman" w:hAnsi="Times New Roman" w:cs="Times New Roman"/>
          <w:bCs/>
          <w:sz w:val="24"/>
          <w:szCs w:val="24"/>
          <w:lang w:val="ro-MD"/>
        </w:rPr>
        <w:t>punctul</w:t>
      </w:r>
      <w:r w:rsidR="00A74EE2" w:rsidRPr="00A74EE2">
        <w:rPr>
          <w:rFonts w:ascii="Times New Roman" w:eastAsia="Times New Roman" w:hAnsi="Times New Roman" w:cs="Times New Roman"/>
          <w:bCs/>
          <w:sz w:val="24"/>
          <w:szCs w:val="24"/>
          <w:lang w:val="ro-MD"/>
        </w:rPr>
        <w:t xml:space="preserve"> respectiv și să nu conţină tranzacţii contestate sau opţiuni exotice;</w:t>
      </w:r>
    </w:p>
    <w:p w14:paraId="2EE2EA2E" w14:textId="346EF7BE"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4</w:t>
      </w:r>
      <w:r w:rsidR="00A74EE2" w:rsidRPr="00A74EE2">
        <w:rPr>
          <w:rFonts w:ascii="Times New Roman" w:eastAsia="Times New Roman" w:hAnsi="Times New Roman" w:cs="Times New Roman"/>
          <w:bCs/>
          <w:sz w:val="24"/>
          <w:szCs w:val="24"/>
          <w:lang w:val="ro-MD"/>
        </w:rPr>
        <w:t xml:space="preserve">) în cazul în care o CPC reţine o marjă de variaţie faţă de o tranzacţie și garanţiile reale ale </w:t>
      </w:r>
      <w:r>
        <w:rPr>
          <w:rFonts w:ascii="Times New Roman" w:eastAsia="Times New Roman" w:hAnsi="Times New Roman" w:cs="Times New Roman"/>
          <w:bCs/>
          <w:sz w:val="24"/>
          <w:szCs w:val="24"/>
          <w:lang w:val="ro-MD"/>
        </w:rPr>
        <w:t>băncii</w:t>
      </w:r>
      <w:r w:rsidR="00A74EE2" w:rsidRPr="00A74EE2">
        <w:rPr>
          <w:rFonts w:ascii="Times New Roman" w:eastAsia="Times New Roman" w:hAnsi="Times New Roman" w:cs="Times New Roman"/>
          <w:bCs/>
          <w:sz w:val="24"/>
          <w:szCs w:val="24"/>
          <w:lang w:val="ro-MD"/>
        </w:rPr>
        <w:t xml:space="preserve"> nu sunt protejate în cazul insolvenţei respectivei CPC, </w:t>
      </w:r>
      <w:r>
        <w:rPr>
          <w:rFonts w:ascii="Times New Roman" w:eastAsia="Times New Roman" w:hAnsi="Times New Roman" w:cs="Times New Roman"/>
          <w:bCs/>
          <w:sz w:val="24"/>
          <w:szCs w:val="24"/>
          <w:lang w:val="ro-MD"/>
        </w:rPr>
        <w:t>banca</w:t>
      </w:r>
      <w:r w:rsidR="00A74EE2" w:rsidRPr="00A74EE2">
        <w:rPr>
          <w:rFonts w:ascii="Times New Roman" w:eastAsia="Times New Roman" w:hAnsi="Times New Roman" w:cs="Times New Roman"/>
          <w:bCs/>
          <w:sz w:val="24"/>
          <w:szCs w:val="24"/>
          <w:lang w:val="ro-MD"/>
        </w:rPr>
        <w:t xml:space="preserve"> aplică o perioadă de risc de marjă egală cu valoarea cea mai mică dintre un an și scadenţa reziduală a tranzacţiei, cu un prag de 10 zile lucrătoare.</w:t>
      </w:r>
    </w:p>
    <w:p w14:paraId="523EBB74" w14:textId="265B1AF4"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
          <w:sz w:val="24"/>
          <w:szCs w:val="24"/>
          <w:lang w:val="ro-MD"/>
        </w:rPr>
        <w:t>114.</w:t>
      </w:r>
      <w:r w:rsidR="00A74EE2" w:rsidRPr="00A74EE2">
        <w:rPr>
          <w:rFonts w:ascii="Times New Roman" w:eastAsia="Times New Roman" w:hAnsi="Times New Roman" w:cs="Times New Roman"/>
          <w:bCs/>
          <w:sz w:val="24"/>
          <w:szCs w:val="24"/>
          <w:lang w:val="ro-MD"/>
        </w:rPr>
        <w:t xml:space="preserve"> Prin derogare de la </w:t>
      </w:r>
      <w:r w:rsidR="005A7B17">
        <w:rPr>
          <w:rFonts w:ascii="Times New Roman" w:eastAsia="Times New Roman" w:hAnsi="Times New Roman" w:cs="Times New Roman"/>
          <w:bCs/>
          <w:sz w:val="24"/>
          <w:szCs w:val="24"/>
          <w:lang w:val="ro-MD"/>
        </w:rPr>
        <w:t>punctul 85 subpunctul 8)</w:t>
      </w:r>
      <w:r w:rsidR="00A74EE2" w:rsidRPr="00A74EE2">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00A74EE2" w:rsidRPr="00A74EE2">
        <w:rPr>
          <w:rFonts w:ascii="Times New Roman" w:eastAsia="Times New Roman" w:hAnsi="Times New Roman" w:cs="Times New Roman"/>
          <w:bCs/>
          <w:sz w:val="24"/>
          <w:szCs w:val="24"/>
          <w:lang w:val="ro-MD"/>
        </w:rPr>
        <w:t xml:space="preserve"> care acţionează ca membru compensator utilizează metoda prevăzută în </w:t>
      </w:r>
      <w:r w:rsidR="005A7B17">
        <w:rPr>
          <w:rFonts w:ascii="Times New Roman" w:eastAsia="Times New Roman" w:hAnsi="Times New Roman" w:cs="Times New Roman"/>
          <w:bCs/>
          <w:sz w:val="24"/>
          <w:szCs w:val="24"/>
          <w:lang w:val="ro-MD"/>
        </w:rPr>
        <w:t>capitolul IV</w:t>
      </w:r>
      <w:r w:rsidR="00A74EE2" w:rsidRPr="00A74EE2">
        <w:rPr>
          <w:rFonts w:ascii="Times New Roman" w:eastAsia="Times New Roman" w:hAnsi="Times New Roman" w:cs="Times New Roman"/>
          <w:bCs/>
          <w:sz w:val="24"/>
          <w:szCs w:val="24"/>
          <w:lang w:val="ro-MD"/>
        </w:rPr>
        <w:t xml:space="preserve"> pentru a calcula cerinţa de fonduri proprii aferentă expunerilor sale la un client, </w:t>
      </w:r>
      <w:r>
        <w:rPr>
          <w:rFonts w:ascii="Times New Roman" w:eastAsia="Times New Roman" w:hAnsi="Times New Roman" w:cs="Times New Roman"/>
          <w:bCs/>
          <w:sz w:val="24"/>
          <w:szCs w:val="24"/>
          <w:lang w:val="ro-MD"/>
        </w:rPr>
        <w:t>banca</w:t>
      </w:r>
      <w:r w:rsidR="00A74EE2" w:rsidRPr="00A74EE2">
        <w:rPr>
          <w:rFonts w:ascii="Times New Roman" w:eastAsia="Times New Roman" w:hAnsi="Times New Roman" w:cs="Times New Roman"/>
          <w:bCs/>
          <w:sz w:val="24"/>
          <w:szCs w:val="24"/>
          <w:lang w:val="ro-MD"/>
        </w:rPr>
        <w:t xml:space="preserve"> poate utiliza un factor de scadenţă de 0,21 pentru efectuarea calculului.</w:t>
      </w:r>
    </w:p>
    <w:p w14:paraId="4BAA3BB0" w14:textId="21E9FB08"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
          <w:sz w:val="24"/>
          <w:szCs w:val="24"/>
          <w:lang w:val="ro-MD"/>
        </w:rPr>
        <w:t>115.</w:t>
      </w:r>
      <w:r>
        <w:rPr>
          <w:rFonts w:ascii="Times New Roman" w:eastAsia="Times New Roman" w:hAnsi="Times New Roman" w:cs="Times New Roman"/>
          <w:bCs/>
          <w:sz w:val="24"/>
          <w:szCs w:val="24"/>
          <w:lang w:val="ro-MD"/>
        </w:rPr>
        <w:t xml:space="preserve"> </w:t>
      </w:r>
      <w:r w:rsidR="00A74EE2" w:rsidRPr="00A74EE2">
        <w:rPr>
          <w:rFonts w:ascii="Times New Roman" w:eastAsia="Times New Roman" w:hAnsi="Times New Roman" w:cs="Times New Roman"/>
          <w:bCs/>
          <w:sz w:val="24"/>
          <w:szCs w:val="24"/>
          <w:lang w:val="ro-MD"/>
        </w:rPr>
        <w:t xml:space="preserve">Prin derogare de la </w:t>
      </w:r>
      <w:r w:rsidR="005A7B17">
        <w:rPr>
          <w:rFonts w:ascii="Times New Roman" w:eastAsia="Times New Roman" w:hAnsi="Times New Roman" w:cs="Times New Roman"/>
          <w:bCs/>
          <w:sz w:val="24"/>
          <w:szCs w:val="24"/>
          <w:lang w:val="ro-MD"/>
        </w:rPr>
        <w:t>punctul 89 subpunctul 4)</w:t>
      </w:r>
      <w:r w:rsidR="00A74EE2" w:rsidRPr="00A74EE2">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00A74EE2" w:rsidRPr="00A74EE2">
        <w:rPr>
          <w:rFonts w:ascii="Times New Roman" w:eastAsia="Times New Roman" w:hAnsi="Times New Roman" w:cs="Times New Roman"/>
          <w:bCs/>
          <w:sz w:val="24"/>
          <w:szCs w:val="24"/>
          <w:lang w:val="ro-MD"/>
        </w:rPr>
        <w:t xml:space="preserve"> care acţionează ca membru compensator utilizează metoda prevăzută în </w:t>
      </w:r>
      <w:r w:rsidR="005A7B17">
        <w:rPr>
          <w:rFonts w:ascii="Times New Roman" w:eastAsia="Times New Roman" w:hAnsi="Times New Roman" w:cs="Times New Roman"/>
          <w:bCs/>
          <w:sz w:val="24"/>
          <w:szCs w:val="24"/>
          <w:lang w:val="ro-MD"/>
        </w:rPr>
        <w:t>capitolul V</w:t>
      </w:r>
      <w:r w:rsidR="00A74EE2" w:rsidRPr="00A74EE2">
        <w:rPr>
          <w:rFonts w:ascii="Times New Roman" w:eastAsia="Times New Roman" w:hAnsi="Times New Roman" w:cs="Times New Roman"/>
          <w:bCs/>
          <w:sz w:val="24"/>
          <w:szCs w:val="24"/>
          <w:lang w:val="ro-MD"/>
        </w:rPr>
        <w:t xml:space="preserve"> pentru a calcula cerinţa de fonduri proprii aferentă expunerilor sale la un client, </w:t>
      </w:r>
      <w:r>
        <w:rPr>
          <w:rFonts w:ascii="Times New Roman" w:eastAsia="Times New Roman" w:hAnsi="Times New Roman" w:cs="Times New Roman"/>
          <w:bCs/>
          <w:sz w:val="24"/>
          <w:szCs w:val="24"/>
          <w:lang w:val="ro-MD"/>
        </w:rPr>
        <w:t>banca</w:t>
      </w:r>
      <w:r w:rsidR="00A74EE2" w:rsidRPr="00A74EE2">
        <w:rPr>
          <w:rFonts w:ascii="Times New Roman" w:eastAsia="Times New Roman" w:hAnsi="Times New Roman" w:cs="Times New Roman"/>
          <w:bCs/>
          <w:sz w:val="24"/>
          <w:szCs w:val="24"/>
          <w:lang w:val="ro-MD"/>
        </w:rPr>
        <w:t xml:space="preserve"> respectivă poate utiliza un factor de scadenţă de 0,21 la calculul respectiv.</w:t>
      </w:r>
    </w:p>
    <w:p w14:paraId="5CC0B404" w14:textId="6A065344" w:rsidR="00A74EE2" w:rsidRPr="00A74EE2" w:rsidRDefault="00DF37CD" w:rsidP="00A74EE2">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
          <w:sz w:val="24"/>
          <w:szCs w:val="24"/>
          <w:lang w:val="ro-MD"/>
        </w:rPr>
        <w:t>116.</w:t>
      </w:r>
      <w:r w:rsidR="00A74EE2" w:rsidRPr="00A74EE2">
        <w:rPr>
          <w:rFonts w:ascii="Times New Roman" w:eastAsia="Times New Roman" w:hAnsi="Times New Roman" w:cs="Times New Roman"/>
          <w:bCs/>
          <w:sz w:val="24"/>
          <w:szCs w:val="24"/>
          <w:lang w:val="ro-MD"/>
        </w:rPr>
        <w:t xml:space="preserve"> O </w:t>
      </w:r>
      <w:r>
        <w:rPr>
          <w:rFonts w:ascii="Times New Roman" w:eastAsia="Times New Roman" w:hAnsi="Times New Roman" w:cs="Times New Roman"/>
          <w:bCs/>
          <w:sz w:val="24"/>
          <w:szCs w:val="24"/>
          <w:lang w:val="ro-MD"/>
        </w:rPr>
        <w:t>bancă</w:t>
      </w:r>
      <w:r w:rsidR="00A74EE2" w:rsidRPr="00A74EE2">
        <w:rPr>
          <w:rFonts w:ascii="Times New Roman" w:eastAsia="Times New Roman" w:hAnsi="Times New Roman" w:cs="Times New Roman"/>
          <w:bCs/>
          <w:sz w:val="24"/>
          <w:szCs w:val="24"/>
          <w:lang w:val="ro-MD"/>
        </w:rPr>
        <w:t xml:space="preserve"> care acţionează ca membru compensator poate utiliza valoarea redusă a expunerii în caz de nerambursare rezultată din calculele menţionate la </w:t>
      </w:r>
      <w:r>
        <w:rPr>
          <w:rFonts w:ascii="Times New Roman" w:eastAsia="Times New Roman" w:hAnsi="Times New Roman" w:cs="Times New Roman"/>
          <w:bCs/>
          <w:sz w:val="24"/>
          <w:szCs w:val="24"/>
          <w:lang w:val="ro-MD"/>
        </w:rPr>
        <w:t>punctele</w:t>
      </w:r>
      <w:r w:rsidR="00A74EE2" w:rsidRPr="00A74EE2">
        <w:rPr>
          <w:rFonts w:ascii="Times New Roman" w:eastAsia="Times New Roman" w:hAnsi="Times New Roman" w:cs="Times New Roman"/>
          <w:bCs/>
          <w:sz w:val="24"/>
          <w:szCs w:val="24"/>
          <w:lang w:val="ro-MD"/>
        </w:rPr>
        <w:t xml:space="preserve"> </w:t>
      </w:r>
      <w:r>
        <w:rPr>
          <w:rFonts w:ascii="Times New Roman" w:eastAsia="Times New Roman" w:hAnsi="Times New Roman" w:cs="Times New Roman"/>
          <w:bCs/>
          <w:sz w:val="24"/>
          <w:szCs w:val="24"/>
          <w:lang w:val="ro-MD"/>
        </w:rPr>
        <w:t>113</w:t>
      </w:r>
      <w:r w:rsidR="00A74EE2" w:rsidRPr="00A74EE2">
        <w:rPr>
          <w:rFonts w:ascii="Times New Roman" w:eastAsia="Times New Roman" w:hAnsi="Times New Roman" w:cs="Times New Roman"/>
          <w:bCs/>
          <w:sz w:val="24"/>
          <w:szCs w:val="24"/>
          <w:lang w:val="ro-MD"/>
        </w:rPr>
        <w:t xml:space="preserve">, </w:t>
      </w:r>
      <w:r>
        <w:rPr>
          <w:rFonts w:ascii="Times New Roman" w:eastAsia="Times New Roman" w:hAnsi="Times New Roman" w:cs="Times New Roman"/>
          <w:bCs/>
          <w:sz w:val="24"/>
          <w:szCs w:val="24"/>
          <w:lang w:val="ro-MD"/>
        </w:rPr>
        <w:t>114</w:t>
      </w:r>
      <w:r w:rsidR="00A74EE2" w:rsidRPr="00A74EE2">
        <w:rPr>
          <w:rFonts w:ascii="Times New Roman" w:eastAsia="Times New Roman" w:hAnsi="Times New Roman" w:cs="Times New Roman"/>
          <w:bCs/>
          <w:sz w:val="24"/>
          <w:szCs w:val="24"/>
          <w:lang w:val="ro-MD"/>
        </w:rPr>
        <w:t xml:space="preserve"> și </w:t>
      </w:r>
      <w:r>
        <w:rPr>
          <w:rFonts w:ascii="Times New Roman" w:eastAsia="Times New Roman" w:hAnsi="Times New Roman" w:cs="Times New Roman"/>
          <w:bCs/>
          <w:sz w:val="24"/>
          <w:szCs w:val="24"/>
          <w:lang w:val="ro-MD"/>
        </w:rPr>
        <w:t>115</w:t>
      </w:r>
      <w:r w:rsidR="00A74EE2" w:rsidRPr="00A74EE2">
        <w:rPr>
          <w:rFonts w:ascii="Times New Roman" w:eastAsia="Times New Roman" w:hAnsi="Times New Roman" w:cs="Times New Roman"/>
          <w:bCs/>
          <w:sz w:val="24"/>
          <w:szCs w:val="24"/>
          <w:lang w:val="ro-MD"/>
        </w:rPr>
        <w:t xml:space="preserve"> pentru a-și calcula cerinţele de fonduri proprii pentru riscul CVA în conformitate cu </w:t>
      </w:r>
      <w:r w:rsidR="00DE2140" w:rsidRPr="00DE2140">
        <w:rPr>
          <w:rFonts w:ascii="Times New Roman" w:eastAsia="Times New Roman" w:hAnsi="Times New Roman" w:cs="Times New Roman"/>
          <w:bCs/>
          <w:sz w:val="24"/>
          <w:szCs w:val="24"/>
          <w:lang w:val="ro-MD"/>
        </w:rPr>
        <w:t>Regulamentul nr.103/2020 cu privire la tratamentul riscului de ajustare a evaluării creditului pentru bănci</w:t>
      </w:r>
      <w:r w:rsidR="00DE2140">
        <w:rPr>
          <w:rFonts w:ascii="Times New Roman" w:eastAsia="Times New Roman" w:hAnsi="Times New Roman" w:cs="Times New Roman"/>
          <w:bCs/>
          <w:sz w:val="24"/>
          <w:szCs w:val="24"/>
          <w:lang w:val="ro-MD"/>
        </w:rPr>
        <w:t>.</w:t>
      </w:r>
    </w:p>
    <w:p w14:paraId="526F07B8" w14:textId="15CA9595" w:rsidR="00A74EE2" w:rsidRPr="00A74EE2" w:rsidRDefault="00DF37CD" w:rsidP="00DF37CD">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
          <w:sz w:val="24"/>
          <w:szCs w:val="24"/>
          <w:lang w:val="ro-MD"/>
        </w:rPr>
        <w:t>117.</w:t>
      </w:r>
      <w:r w:rsidR="00A74EE2" w:rsidRPr="00A74EE2">
        <w:rPr>
          <w:rFonts w:ascii="Times New Roman" w:eastAsia="Times New Roman" w:hAnsi="Times New Roman" w:cs="Times New Roman"/>
          <w:bCs/>
          <w:sz w:val="24"/>
          <w:szCs w:val="24"/>
          <w:lang w:val="ro-MD"/>
        </w:rPr>
        <w:t xml:space="preserve"> O </w:t>
      </w:r>
      <w:r>
        <w:rPr>
          <w:rFonts w:ascii="Times New Roman" w:eastAsia="Times New Roman" w:hAnsi="Times New Roman" w:cs="Times New Roman"/>
          <w:bCs/>
          <w:sz w:val="24"/>
          <w:szCs w:val="24"/>
          <w:lang w:val="ro-MD"/>
        </w:rPr>
        <w:t>bancă</w:t>
      </w:r>
      <w:r w:rsidR="00A74EE2" w:rsidRPr="00A74EE2">
        <w:rPr>
          <w:rFonts w:ascii="Times New Roman" w:eastAsia="Times New Roman" w:hAnsi="Times New Roman" w:cs="Times New Roman"/>
          <w:bCs/>
          <w:sz w:val="24"/>
          <w:szCs w:val="24"/>
          <w:lang w:val="ro-MD"/>
        </w:rPr>
        <w:t xml:space="preserve"> care acţionează ca membru compensator care colectează garanţii reale de la un client pentru o tranzacţie legată de o CPC și transferă garanţiile reale către CPC poate recunoaște garanţiile respective pentru a-și reduce expunerea la client pentru tranzacţia respectivă legată de CPC. </w:t>
      </w:r>
    </w:p>
    <w:p w14:paraId="73921F66" w14:textId="0887FDE8" w:rsidR="00A74EE2" w:rsidRPr="00A74EE2" w:rsidRDefault="00A74EE2" w:rsidP="00A74EE2">
      <w:pPr>
        <w:spacing w:after="0" w:line="240" w:lineRule="auto"/>
        <w:ind w:firstLine="567"/>
        <w:jc w:val="both"/>
        <w:rPr>
          <w:rFonts w:ascii="Times New Roman" w:eastAsia="Times New Roman" w:hAnsi="Times New Roman" w:cs="Times New Roman"/>
          <w:bCs/>
          <w:sz w:val="24"/>
          <w:szCs w:val="24"/>
          <w:lang w:val="ro-MD"/>
        </w:rPr>
      </w:pPr>
      <w:r w:rsidRPr="00A74EE2">
        <w:rPr>
          <w:rFonts w:ascii="Times New Roman" w:eastAsia="Times New Roman" w:hAnsi="Times New Roman" w:cs="Times New Roman"/>
          <w:bCs/>
          <w:sz w:val="24"/>
          <w:szCs w:val="24"/>
          <w:lang w:val="ro-MD"/>
        </w:rPr>
        <w:t>În cazul unei structuri a clientelei pe mai multe niveluri, tratamentul prevăzut la primul paragraf poate fi aplicat la fiecare nivel al structurii respective.</w:t>
      </w:r>
    </w:p>
    <w:p w14:paraId="7B357005" w14:textId="77777777" w:rsidR="00A74EE2" w:rsidRPr="00A74EE2" w:rsidRDefault="00A74EE2" w:rsidP="00A74EE2">
      <w:pPr>
        <w:spacing w:after="0" w:line="240" w:lineRule="auto"/>
        <w:ind w:firstLine="567"/>
        <w:jc w:val="center"/>
        <w:rPr>
          <w:rFonts w:ascii="Times New Roman" w:eastAsia="Times New Roman" w:hAnsi="Times New Roman" w:cs="Times New Roman"/>
          <w:bCs/>
          <w:i/>
          <w:iCs/>
          <w:sz w:val="24"/>
          <w:szCs w:val="24"/>
          <w:lang w:val="ro-MD"/>
        </w:rPr>
      </w:pPr>
    </w:p>
    <w:p w14:paraId="051F701F" w14:textId="4D164127" w:rsidR="00DF37CD" w:rsidRDefault="00DF37CD" w:rsidP="00DF37CD">
      <w:pPr>
        <w:spacing w:after="0" w:line="240" w:lineRule="auto"/>
        <w:ind w:firstLine="567"/>
        <w:jc w:val="center"/>
        <w:rPr>
          <w:rFonts w:ascii="Times New Roman" w:eastAsia="Times New Roman" w:hAnsi="Times New Roman" w:cs="Times New Roman"/>
          <w:bCs/>
          <w:i/>
          <w:iCs/>
          <w:sz w:val="24"/>
          <w:szCs w:val="24"/>
          <w:lang w:val="ro-MD"/>
        </w:rPr>
      </w:pPr>
      <w:bookmarkStart w:id="8" w:name="_Hlk162996977"/>
      <w:r w:rsidRPr="00A74EE2">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5</w:t>
      </w:r>
      <w:r w:rsidRPr="00A74EE2">
        <w:rPr>
          <w:rFonts w:ascii="Times New Roman" w:eastAsia="Times New Roman" w:hAnsi="Times New Roman" w:cs="Times New Roman"/>
          <w:bCs/>
          <w:i/>
          <w:iCs/>
          <w:sz w:val="24"/>
          <w:szCs w:val="24"/>
          <w:lang w:val="ro-MD"/>
        </w:rPr>
        <w:t>-a</w:t>
      </w:r>
    </w:p>
    <w:bookmarkEnd w:id="8"/>
    <w:p w14:paraId="2C5A9EA6" w14:textId="7475F157" w:rsidR="00DF37CD" w:rsidRPr="0042700C" w:rsidRDefault="00DF37CD" w:rsidP="00DF37CD">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Tratamentul expunerilor clienţilor</w:t>
      </w:r>
    </w:p>
    <w:p w14:paraId="0D1355BD" w14:textId="23951E91" w:rsidR="00DF37CD" w:rsidRPr="00DF37CD" w:rsidRDefault="00DF37CD" w:rsidP="00DF37CD">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
          <w:sz w:val="24"/>
          <w:szCs w:val="24"/>
          <w:lang w:val="ro-MD"/>
        </w:rPr>
        <w:t>118.</w:t>
      </w:r>
      <w:r w:rsidRPr="00DF37CD">
        <w:rPr>
          <w:rFonts w:ascii="Times New Roman" w:eastAsia="Times New Roman" w:hAnsi="Times New Roman" w:cs="Times New Roman"/>
          <w:bCs/>
          <w:sz w:val="24"/>
          <w:szCs w:val="24"/>
          <w:lang w:val="ro-MD"/>
        </w:rPr>
        <w:t xml:space="preserve"> O </w:t>
      </w:r>
      <w:r>
        <w:rPr>
          <w:rFonts w:ascii="Times New Roman" w:eastAsia="Times New Roman" w:hAnsi="Times New Roman" w:cs="Times New Roman"/>
          <w:bCs/>
          <w:sz w:val="24"/>
          <w:szCs w:val="24"/>
          <w:lang w:val="ro-MD"/>
        </w:rPr>
        <w:t>bancă</w:t>
      </w:r>
      <w:r w:rsidRPr="00DF37CD">
        <w:rPr>
          <w:rFonts w:ascii="Times New Roman" w:eastAsia="Times New Roman" w:hAnsi="Times New Roman" w:cs="Times New Roman"/>
          <w:bCs/>
          <w:sz w:val="24"/>
          <w:szCs w:val="24"/>
          <w:lang w:val="ro-MD"/>
        </w:rPr>
        <w:t xml:space="preserve"> care este client calculează cerinţele de fonduri proprii pentru tranzacţiile sale legate de o CPC cu membrul său compensator în conformitate cu </w:t>
      </w:r>
      <w:bookmarkStart w:id="9" w:name="_Hlk163077929"/>
      <w:r w:rsidR="00CC0B83" w:rsidRPr="00CC0B83">
        <w:rPr>
          <w:rFonts w:ascii="Times New Roman" w:eastAsia="Times New Roman" w:hAnsi="Times New Roman" w:cs="Times New Roman"/>
          <w:bCs/>
          <w:sz w:val="24"/>
          <w:szCs w:val="24"/>
          <w:lang w:val="ro-MD"/>
        </w:rPr>
        <w:t>capitolele I - VII din prezentul regulament</w:t>
      </w:r>
      <w:r w:rsidR="00CC0B83">
        <w:rPr>
          <w:rFonts w:ascii="Times New Roman" w:eastAsia="Times New Roman" w:hAnsi="Times New Roman" w:cs="Times New Roman"/>
          <w:bCs/>
          <w:sz w:val="24"/>
          <w:szCs w:val="24"/>
          <w:lang w:val="ro-MD"/>
        </w:rPr>
        <w:t xml:space="preserve">, </w:t>
      </w:r>
      <w:r w:rsidR="00CC0B83" w:rsidRPr="00CC0B83">
        <w:rPr>
          <w:rFonts w:ascii="Times New Roman" w:eastAsia="Times New Roman" w:hAnsi="Times New Roman" w:cs="Times New Roman"/>
          <w:bCs/>
          <w:sz w:val="24"/>
          <w:szCs w:val="24"/>
          <w:lang w:val="ro-MD"/>
        </w:rPr>
        <w:t>cu prevederile Regulamentului nr.112/2018 cu privire la tehnicile de diminuare a riscului de credit utilizate de bănci și Regulamentului nr.103/2020 cu privire la tratamentul riscului de ajustare a evaluării creditului pentru bănci</w:t>
      </w:r>
      <w:bookmarkEnd w:id="9"/>
      <w:r w:rsidRPr="00DF37CD">
        <w:rPr>
          <w:rFonts w:ascii="Times New Roman" w:eastAsia="Times New Roman" w:hAnsi="Times New Roman" w:cs="Times New Roman"/>
          <w:bCs/>
          <w:sz w:val="24"/>
          <w:szCs w:val="24"/>
          <w:lang w:val="ro-MD"/>
        </w:rPr>
        <w:t xml:space="preserve">, după caz. </w:t>
      </w:r>
    </w:p>
    <w:p w14:paraId="39CCFB25" w14:textId="3C5185C0" w:rsidR="00DF37CD" w:rsidRPr="00DF37CD" w:rsidRDefault="00DF37CD" w:rsidP="00DF37CD">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
          <w:sz w:val="24"/>
          <w:szCs w:val="24"/>
          <w:lang w:val="ro-MD"/>
        </w:rPr>
        <w:t>119.</w:t>
      </w:r>
      <w:r w:rsidRPr="00DF37CD">
        <w:rPr>
          <w:rFonts w:ascii="Times New Roman" w:eastAsia="Times New Roman" w:hAnsi="Times New Roman" w:cs="Times New Roman"/>
          <w:bCs/>
          <w:sz w:val="24"/>
          <w:szCs w:val="24"/>
          <w:lang w:val="ro-MD"/>
        </w:rPr>
        <w:t xml:space="preserve"> Fără a aduce atingere abordării prevăzute la </w:t>
      </w:r>
      <w:r>
        <w:rPr>
          <w:rFonts w:ascii="Times New Roman" w:eastAsia="Times New Roman" w:hAnsi="Times New Roman" w:cs="Times New Roman"/>
          <w:bCs/>
          <w:sz w:val="24"/>
          <w:szCs w:val="24"/>
          <w:lang w:val="ro-MD"/>
        </w:rPr>
        <w:t>punctul 118</w:t>
      </w:r>
      <w:r w:rsidRPr="00DF37CD">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Pr="00DF37CD">
        <w:rPr>
          <w:rFonts w:ascii="Times New Roman" w:eastAsia="Times New Roman" w:hAnsi="Times New Roman" w:cs="Times New Roman"/>
          <w:bCs/>
          <w:sz w:val="24"/>
          <w:szCs w:val="24"/>
          <w:lang w:val="ro-MD"/>
        </w:rPr>
        <w:t xml:space="preserve"> este client, aceasta poate calcula cerinţele de fonduri proprii pentru expunerile sale din tranzacţii în cazul tranzacţiilor cu membrul compensator legate de CPC în conformitate cu </w:t>
      </w:r>
      <w:r w:rsidR="00E8600A" w:rsidRPr="00FE737A">
        <w:rPr>
          <w:rFonts w:ascii="Times New Roman" w:eastAsia="Times New Roman" w:hAnsi="Times New Roman" w:cs="Times New Roman"/>
          <w:bCs/>
          <w:sz w:val="24"/>
          <w:szCs w:val="24"/>
          <w:lang w:val="ro-MD"/>
        </w:rPr>
        <w:t xml:space="preserve">secțiunea a </w:t>
      </w:r>
      <w:r w:rsidR="00E8600A">
        <w:rPr>
          <w:rFonts w:ascii="Times New Roman" w:eastAsia="Times New Roman" w:hAnsi="Times New Roman" w:cs="Times New Roman"/>
          <w:bCs/>
          <w:sz w:val="24"/>
          <w:szCs w:val="24"/>
          <w:lang w:val="ro-MD"/>
        </w:rPr>
        <w:t>6</w:t>
      </w:r>
      <w:r w:rsidR="00E8600A" w:rsidRPr="00FE737A">
        <w:rPr>
          <w:rFonts w:ascii="Times New Roman" w:eastAsia="Times New Roman" w:hAnsi="Times New Roman" w:cs="Times New Roman"/>
          <w:bCs/>
          <w:sz w:val="24"/>
          <w:szCs w:val="24"/>
          <w:lang w:val="ro-MD"/>
        </w:rPr>
        <w:t>-a din prezentul capitol</w:t>
      </w:r>
      <w:r w:rsidRPr="00DF37CD">
        <w:rPr>
          <w:rFonts w:ascii="Times New Roman" w:eastAsia="Times New Roman" w:hAnsi="Times New Roman" w:cs="Times New Roman"/>
          <w:bCs/>
          <w:sz w:val="24"/>
          <w:szCs w:val="24"/>
          <w:lang w:val="ro-MD"/>
        </w:rPr>
        <w:t>, dacă sunt îndeplinite cumulativ următoarele condiţii:</w:t>
      </w:r>
    </w:p>
    <w:p w14:paraId="07CB8FDB" w14:textId="5F575431" w:rsidR="00DF37CD" w:rsidRPr="00DF37CD" w:rsidRDefault="00332AB8" w:rsidP="00DF37CD">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1</w:t>
      </w:r>
      <w:r w:rsidR="00DF37CD" w:rsidRPr="00DF37CD">
        <w:rPr>
          <w:rFonts w:ascii="Times New Roman" w:eastAsia="Times New Roman" w:hAnsi="Times New Roman" w:cs="Times New Roman"/>
          <w:bCs/>
          <w:sz w:val="24"/>
          <w:szCs w:val="24"/>
          <w:lang w:val="ro-MD"/>
        </w:rPr>
        <w:t xml:space="preserve">) poziţiile și activele </w:t>
      </w:r>
      <w:r>
        <w:rPr>
          <w:rFonts w:ascii="Times New Roman" w:eastAsia="Times New Roman" w:hAnsi="Times New Roman" w:cs="Times New Roman"/>
          <w:bCs/>
          <w:sz w:val="24"/>
          <w:szCs w:val="24"/>
          <w:lang w:val="ro-MD"/>
        </w:rPr>
        <w:t>băncii</w:t>
      </w:r>
      <w:r w:rsidR="00DF37CD" w:rsidRPr="00DF37CD">
        <w:rPr>
          <w:rFonts w:ascii="Times New Roman" w:eastAsia="Times New Roman" w:hAnsi="Times New Roman" w:cs="Times New Roman"/>
          <w:bCs/>
          <w:sz w:val="24"/>
          <w:szCs w:val="24"/>
          <w:lang w:val="ro-MD"/>
        </w:rPr>
        <w:t xml:space="preserve"> legate de tranzacţiile în cauză sunt distinse și separate, atât la nivelul membrului compensator, cât și al CPC, de poziţiile și activele membrului compensator și ale celorlalţi clienţi ai membrului compensator și, ca urmare a acestei distincţii și separări, poziţiile și activele respective ale </w:t>
      </w:r>
      <w:r w:rsidR="005C5EC4">
        <w:rPr>
          <w:rFonts w:ascii="Times New Roman" w:eastAsia="Times New Roman" w:hAnsi="Times New Roman" w:cs="Times New Roman"/>
          <w:bCs/>
          <w:sz w:val="24"/>
          <w:szCs w:val="24"/>
          <w:lang w:val="ro-MD"/>
        </w:rPr>
        <w:t>băncii</w:t>
      </w:r>
      <w:r w:rsidR="00DF37CD" w:rsidRPr="00DF37CD">
        <w:rPr>
          <w:rFonts w:ascii="Times New Roman" w:eastAsia="Times New Roman" w:hAnsi="Times New Roman" w:cs="Times New Roman"/>
          <w:bCs/>
          <w:sz w:val="24"/>
          <w:szCs w:val="24"/>
          <w:lang w:val="ro-MD"/>
        </w:rPr>
        <w:t xml:space="preserve"> sunt indisponibile în cazul în care membrul compensator ori unul sau mai mulţi dintre clienţii săi intră în stare de nerambursare sau în insolvenţă;</w:t>
      </w:r>
    </w:p>
    <w:p w14:paraId="275A6B73" w14:textId="4BF7A5BB" w:rsidR="00DF37CD" w:rsidRPr="00DF37CD" w:rsidRDefault="00332AB8" w:rsidP="00DF37CD">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2</w:t>
      </w:r>
      <w:r w:rsidR="00DF37CD" w:rsidRPr="00DF37CD">
        <w:rPr>
          <w:rFonts w:ascii="Times New Roman" w:eastAsia="Times New Roman" w:hAnsi="Times New Roman" w:cs="Times New Roman"/>
          <w:bCs/>
          <w:sz w:val="24"/>
          <w:szCs w:val="24"/>
          <w:lang w:val="ro-MD"/>
        </w:rPr>
        <w:t xml:space="preserve">) legislaţia, reglementările și normele, precum și acordurile contractuale aplicabile </w:t>
      </w:r>
      <w:r>
        <w:rPr>
          <w:rFonts w:ascii="Times New Roman" w:eastAsia="Times New Roman" w:hAnsi="Times New Roman" w:cs="Times New Roman"/>
          <w:bCs/>
          <w:sz w:val="24"/>
          <w:szCs w:val="24"/>
          <w:lang w:val="ro-MD"/>
        </w:rPr>
        <w:t xml:space="preserve">băncii </w:t>
      </w:r>
      <w:r w:rsidR="00DF37CD" w:rsidRPr="00DF37CD">
        <w:rPr>
          <w:rFonts w:ascii="Times New Roman" w:eastAsia="Times New Roman" w:hAnsi="Times New Roman" w:cs="Times New Roman"/>
          <w:bCs/>
          <w:sz w:val="24"/>
          <w:szCs w:val="24"/>
          <w:lang w:val="ro-MD"/>
        </w:rPr>
        <w:t xml:space="preserve">sau CPC ori obligatorii pentru acestea facilitează transferul poziţiilor clientului legate de contractele și de tranzacţiile în cauză și al garanţiilor reale aferente către un alt membru compensator în perioada </w:t>
      </w:r>
      <w:r w:rsidR="00DF37CD" w:rsidRPr="00DF37CD">
        <w:rPr>
          <w:rFonts w:ascii="Times New Roman" w:eastAsia="Times New Roman" w:hAnsi="Times New Roman" w:cs="Times New Roman"/>
          <w:bCs/>
          <w:sz w:val="24"/>
          <w:szCs w:val="24"/>
          <w:lang w:val="ro-MD"/>
        </w:rPr>
        <w:lastRenderedPageBreak/>
        <w:t xml:space="preserve">de risc de marjă aplicabilă, în cazul în care membrul compensator iniţial intră în stare de nerambursare sau în insolvenţă. În această situaţie, poziţiile clientului și garanţiile reale se transferă la valoarea de piaţă, cu excepţia cazului în care clientul solicită închiderea poziţiei la valoarea de piaţă; </w:t>
      </w:r>
    </w:p>
    <w:p w14:paraId="52D8D8AB" w14:textId="2D19B5B8" w:rsidR="00DF37CD" w:rsidRPr="00DF37CD" w:rsidRDefault="00332AB8" w:rsidP="00DF37CD">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3</w:t>
      </w:r>
      <w:r w:rsidR="00DF37CD" w:rsidRPr="00DF37CD">
        <w:rPr>
          <w:rFonts w:ascii="Times New Roman" w:eastAsia="Times New Roman" w:hAnsi="Times New Roman" w:cs="Times New Roman"/>
          <w:bCs/>
          <w:sz w:val="24"/>
          <w:szCs w:val="24"/>
          <w:lang w:val="ro-MD"/>
        </w:rPr>
        <w:t xml:space="preserve">) clientul a efectuat și a menţinut la zi o analiză juridică suficient de aprofundată, care demonstrează că modalităţile prin care se asigură îndeplinirea condiţiei prevăzute la </w:t>
      </w:r>
      <w:r>
        <w:rPr>
          <w:rFonts w:ascii="Times New Roman" w:eastAsia="Times New Roman" w:hAnsi="Times New Roman" w:cs="Times New Roman"/>
          <w:bCs/>
          <w:sz w:val="24"/>
          <w:szCs w:val="24"/>
          <w:lang w:val="ro-MD"/>
        </w:rPr>
        <w:t>subpunctul 2</w:t>
      </w:r>
      <w:r w:rsidR="00DF37CD" w:rsidRPr="00DF37CD">
        <w:rPr>
          <w:rFonts w:ascii="Times New Roman" w:eastAsia="Times New Roman" w:hAnsi="Times New Roman" w:cs="Times New Roman"/>
          <w:bCs/>
          <w:sz w:val="24"/>
          <w:szCs w:val="24"/>
          <w:lang w:val="ro-MD"/>
        </w:rPr>
        <w:t xml:space="preserve">) sunt legale, valabile, obligatorii și executorii din punct de vedere juridic în temeiul legislaţiei relevante ale jurisdicţiei sau jurisdicţiilor relevante; </w:t>
      </w:r>
    </w:p>
    <w:p w14:paraId="63FCF34F" w14:textId="5FB99BFD" w:rsidR="00DF37CD" w:rsidRPr="00DF37CD" w:rsidRDefault="00332AB8" w:rsidP="00DF37CD">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4</w:t>
      </w:r>
      <w:r w:rsidR="00DF37CD" w:rsidRPr="00DF37CD">
        <w:rPr>
          <w:rFonts w:ascii="Times New Roman" w:eastAsia="Times New Roman" w:hAnsi="Times New Roman" w:cs="Times New Roman"/>
          <w:bCs/>
          <w:sz w:val="24"/>
          <w:szCs w:val="24"/>
          <w:lang w:val="ro-MD"/>
        </w:rPr>
        <w:t xml:space="preserve">) CPC este o CPCC. </w:t>
      </w:r>
    </w:p>
    <w:p w14:paraId="7A0EF9B5" w14:textId="70DFF202" w:rsidR="00DF37CD" w:rsidRPr="00DF37CD" w:rsidRDefault="00DF37CD" w:rsidP="00DF37CD">
      <w:pPr>
        <w:spacing w:after="0" w:line="240" w:lineRule="auto"/>
        <w:ind w:firstLine="567"/>
        <w:jc w:val="both"/>
        <w:rPr>
          <w:rFonts w:ascii="Times New Roman" w:eastAsia="Times New Roman" w:hAnsi="Times New Roman" w:cs="Times New Roman"/>
          <w:bCs/>
          <w:sz w:val="24"/>
          <w:szCs w:val="24"/>
          <w:lang w:val="ro-MD"/>
        </w:rPr>
      </w:pPr>
      <w:r w:rsidRPr="00DF37CD">
        <w:rPr>
          <w:rFonts w:ascii="Times New Roman" w:eastAsia="Times New Roman" w:hAnsi="Times New Roman" w:cs="Times New Roman"/>
          <w:bCs/>
          <w:sz w:val="24"/>
          <w:szCs w:val="24"/>
          <w:lang w:val="ro-MD"/>
        </w:rPr>
        <w:t xml:space="preserve">Atunci când o </w:t>
      </w:r>
      <w:r w:rsidR="00332AB8">
        <w:rPr>
          <w:rFonts w:ascii="Times New Roman" w:eastAsia="Times New Roman" w:hAnsi="Times New Roman" w:cs="Times New Roman"/>
          <w:bCs/>
          <w:sz w:val="24"/>
          <w:szCs w:val="24"/>
          <w:lang w:val="ro-MD"/>
        </w:rPr>
        <w:t>bancă</w:t>
      </w:r>
      <w:r w:rsidRPr="00DF37CD">
        <w:rPr>
          <w:rFonts w:ascii="Times New Roman" w:eastAsia="Times New Roman" w:hAnsi="Times New Roman" w:cs="Times New Roman"/>
          <w:bCs/>
          <w:sz w:val="24"/>
          <w:szCs w:val="24"/>
          <w:lang w:val="ro-MD"/>
        </w:rPr>
        <w:t xml:space="preserve"> evaluează dacă respectă condiţia prevăzută la primul paragraf </w:t>
      </w:r>
      <w:r w:rsidR="00267512">
        <w:rPr>
          <w:rFonts w:ascii="Times New Roman" w:eastAsia="Times New Roman" w:hAnsi="Times New Roman" w:cs="Times New Roman"/>
          <w:bCs/>
          <w:sz w:val="24"/>
          <w:szCs w:val="24"/>
          <w:lang w:val="ro-MD"/>
        </w:rPr>
        <w:t>subpunctul 2</w:t>
      </w:r>
      <w:r w:rsidRPr="00DF37CD">
        <w:rPr>
          <w:rFonts w:ascii="Times New Roman" w:eastAsia="Times New Roman" w:hAnsi="Times New Roman" w:cs="Times New Roman"/>
          <w:bCs/>
          <w:sz w:val="24"/>
          <w:szCs w:val="24"/>
          <w:lang w:val="ro-MD"/>
        </w:rPr>
        <w:t>), aceasta poate lua în considerare orice precedent clar în materie de transferuri ale poziţiilor clienţilor și ale garanţiilor reale corespunzătoare la nivelul unei CPC, precum și orice intenţie din partea sectorului de a continua această practică.</w:t>
      </w:r>
    </w:p>
    <w:p w14:paraId="4841D70C" w14:textId="0362E570" w:rsidR="00DF37CD" w:rsidRPr="00DF37CD" w:rsidRDefault="00267512" w:rsidP="00DF37CD">
      <w:pPr>
        <w:spacing w:after="0" w:line="240" w:lineRule="auto"/>
        <w:ind w:firstLine="567"/>
        <w:jc w:val="both"/>
        <w:rPr>
          <w:rFonts w:ascii="Times New Roman" w:eastAsia="Times New Roman" w:hAnsi="Times New Roman" w:cs="Times New Roman"/>
          <w:bCs/>
          <w:sz w:val="24"/>
          <w:szCs w:val="24"/>
          <w:lang w:val="ro-MD"/>
        </w:rPr>
      </w:pPr>
      <w:r w:rsidRPr="00267512">
        <w:rPr>
          <w:rFonts w:ascii="Times New Roman" w:eastAsia="Times New Roman" w:hAnsi="Times New Roman" w:cs="Times New Roman"/>
          <w:b/>
          <w:sz w:val="24"/>
          <w:szCs w:val="24"/>
          <w:lang w:val="ro-MD"/>
        </w:rPr>
        <w:t>120.</w:t>
      </w:r>
      <w:r w:rsidR="00DF37CD" w:rsidRPr="00DF37CD">
        <w:rPr>
          <w:rFonts w:ascii="Times New Roman" w:eastAsia="Times New Roman" w:hAnsi="Times New Roman" w:cs="Times New Roman"/>
          <w:bCs/>
          <w:sz w:val="24"/>
          <w:szCs w:val="24"/>
          <w:lang w:val="ro-MD"/>
        </w:rPr>
        <w:t xml:space="preserve"> Prin derogare de la </w:t>
      </w:r>
      <w:r>
        <w:rPr>
          <w:rFonts w:ascii="Times New Roman" w:eastAsia="Times New Roman" w:hAnsi="Times New Roman" w:cs="Times New Roman"/>
          <w:bCs/>
          <w:sz w:val="24"/>
          <w:szCs w:val="24"/>
          <w:lang w:val="ro-MD"/>
        </w:rPr>
        <w:t xml:space="preserve">punctul 119 </w:t>
      </w:r>
      <w:r w:rsidR="00DF37CD" w:rsidRPr="00DF37CD">
        <w:rPr>
          <w:rFonts w:ascii="Times New Roman" w:eastAsia="Times New Roman" w:hAnsi="Times New Roman" w:cs="Times New Roman"/>
          <w:bCs/>
          <w:sz w:val="24"/>
          <w:szCs w:val="24"/>
          <w:lang w:val="ro-MD"/>
        </w:rPr>
        <w:t>din prezent</w:t>
      </w:r>
      <w:r>
        <w:rPr>
          <w:rFonts w:ascii="Times New Roman" w:eastAsia="Times New Roman" w:hAnsi="Times New Roman" w:cs="Times New Roman"/>
          <w:bCs/>
          <w:sz w:val="24"/>
          <w:szCs w:val="24"/>
          <w:lang w:val="ro-MD"/>
        </w:rPr>
        <w:t>a secțiune</w:t>
      </w:r>
      <w:r w:rsidR="00DF37CD" w:rsidRPr="00DF37CD">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00DF37CD" w:rsidRPr="00DF37CD">
        <w:rPr>
          <w:rFonts w:ascii="Times New Roman" w:eastAsia="Times New Roman" w:hAnsi="Times New Roman" w:cs="Times New Roman"/>
          <w:bCs/>
          <w:sz w:val="24"/>
          <w:szCs w:val="24"/>
          <w:lang w:val="ro-MD"/>
        </w:rPr>
        <w:t xml:space="preserve"> care este client nu îndeplinește condiţia prevăzută la</w:t>
      </w:r>
      <w:r>
        <w:rPr>
          <w:rFonts w:ascii="Times New Roman" w:eastAsia="Times New Roman" w:hAnsi="Times New Roman" w:cs="Times New Roman"/>
          <w:bCs/>
          <w:sz w:val="24"/>
          <w:szCs w:val="24"/>
          <w:lang w:val="ro-MD"/>
        </w:rPr>
        <w:t xml:space="preserve"> punctul 119 subpunctul 1)</w:t>
      </w:r>
      <w:r w:rsidR="00DF37CD" w:rsidRPr="00DF37CD">
        <w:rPr>
          <w:rFonts w:ascii="Times New Roman" w:eastAsia="Times New Roman" w:hAnsi="Times New Roman" w:cs="Times New Roman"/>
          <w:bCs/>
          <w:sz w:val="24"/>
          <w:szCs w:val="24"/>
          <w:lang w:val="ro-MD"/>
        </w:rPr>
        <w:t xml:space="preserve"> deoarece nu este protejată de pierderi în situaţia în care membrul compensator și un alt client al membrului compensator intră împreună în stare de nerambursare, sub rezerva îndeplinirii tuturor celelalte condiţii prevăzute la </w:t>
      </w:r>
      <w:r>
        <w:rPr>
          <w:rFonts w:ascii="Times New Roman" w:eastAsia="Times New Roman" w:hAnsi="Times New Roman" w:cs="Times New Roman"/>
          <w:bCs/>
          <w:sz w:val="24"/>
          <w:szCs w:val="24"/>
          <w:lang w:val="ro-MD"/>
        </w:rPr>
        <w:t>subpunctele 1)-4)</w:t>
      </w:r>
      <w:r w:rsidR="00DF37CD" w:rsidRPr="00DF37CD">
        <w:rPr>
          <w:rFonts w:ascii="Times New Roman" w:eastAsia="Times New Roman" w:hAnsi="Times New Roman" w:cs="Times New Roman"/>
          <w:bCs/>
          <w:sz w:val="24"/>
          <w:szCs w:val="24"/>
          <w:lang w:val="ro-MD"/>
        </w:rPr>
        <w:t xml:space="preserve"> de la </w:t>
      </w:r>
      <w:r>
        <w:rPr>
          <w:rFonts w:ascii="Times New Roman" w:eastAsia="Times New Roman" w:hAnsi="Times New Roman" w:cs="Times New Roman"/>
          <w:bCs/>
          <w:sz w:val="24"/>
          <w:szCs w:val="24"/>
          <w:lang w:val="ro-MD"/>
        </w:rPr>
        <w:t>punctul 119</w:t>
      </w:r>
      <w:r w:rsidR="00DF37CD" w:rsidRPr="00DF37CD">
        <w:rPr>
          <w:rFonts w:ascii="Times New Roman" w:eastAsia="Times New Roman" w:hAnsi="Times New Roman" w:cs="Times New Roman"/>
          <w:bCs/>
          <w:sz w:val="24"/>
          <w:szCs w:val="24"/>
          <w:lang w:val="ro-MD"/>
        </w:rPr>
        <w:t xml:space="preserve"> sunt îndeplinite, </w:t>
      </w:r>
      <w:r>
        <w:rPr>
          <w:rFonts w:ascii="Times New Roman" w:eastAsia="Times New Roman" w:hAnsi="Times New Roman" w:cs="Times New Roman"/>
          <w:bCs/>
          <w:sz w:val="24"/>
          <w:szCs w:val="24"/>
          <w:lang w:val="ro-MD"/>
        </w:rPr>
        <w:t>banca</w:t>
      </w:r>
      <w:r w:rsidR="00DF37CD" w:rsidRPr="00DF37CD">
        <w:rPr>
          <w:rFonts w:ascii="Times New Roman" w:eastAsia="Times New Roman" w:hAnsi="Times New Roman" w:cs="Times New Roman"/>
          <w:bCs/>
          <w:sz w:val="24"/>
          <w:szCs w:val="24"/>
          <w:lang w:val="ro-MD"/>
        </w:rPr>
        <w:t xml:space="preserve"> poate calcula cerinţele de fonduri proprii pentru expunerile sale din tranzacţii în cazul tranzacţiilor cu membrul său compensator legate de o CPC în conformitate cu </w:t>
      </w:r>
      <w:r w:rsidR="00C77788" w:rsidRPr="00FE737A">
        <w:rPr>
          <w:rFonts w:ascii="Times New Roman" w:eastAsia="Times New Roman" w:hAnsi="Times New Roman" w:cs="Times New Roman"/>
          <w:bCs/>
          <w:sz w:val="24"/>
          <w:szCs w:val="24"/>
          <w:lang w:val="ro-MD"/>
        </w:rPr>
        <w:t xml:space="preserve">secțiunea a </w:t>
      </w:r>
      <w:r w:rsidR="00C77788">
        <w:rPr>
          <w:rFonts w:ascii="Times New Roman" w:eastAsia="Times New Roman" w:hAnsi="Times New Roman" w:cs="Times New Roman"/>
          <w:bCs/>
          <w:sz w:val="24"/>
          <w:szCs w:val="24"/>
          <w:lang w:val="ro-MD"/>
        </w:rPr>
        <w:t>6</w:t>
      </w:r>
      <w:r w:rsidR="00C77788" w:rsidRPr="00FE737A">
        <w:rPr>
          <w:rFonts w:ascii="Times New Roman" w:eastAsia="Times New Roman" w:hAnsi="Times New Roman" w:cs="Times New Roman"/>
          <w:bCs/>
          <w:sz w:val="24"/>
          <w:szCs w:val="24"/>
          <w:lang w:val="ro-MD"/>
        </w:rPr>
        <w:t>-a din prezentul capitol</w:t>
      </w:r>
      <w:r w:rsidR="00C77788">
        <w:rPr>
          <w:rFonts w:ascii="Times New Roman" w:eastAsia="Times New Roman" w:hAnsi="Times New Roman" w:cs="Times New Roman"/>
          <w:bCs/>
          <w:sz w:val="24"/>
          <w:szCs w:val="24"/>
          <w:lang w:val="ro-MD"/>
        </w:rPr>
        <w:t xml:space="preserve">, </w:t>
      </w:r>
      <w:r w:rsidR="00DF37CD" w:rsidRPr="00DF37CD">
        <w:rPr>
          <w:rFonts w:ascii="Times New Roman" w:eastAsia="Times New Roman" w:hAnsi="Times New Roman" w:cs="Times New Roman"/>
          <w:bCs/>
          <w:sz w:val="24"/>
          <w:szCs w:val="24"/>
          <w:lang w:val="ro-MD"/>
        </w:rPr>
        <w:t>sub rezerva înlocuirii ponderii de risc de 2 % prevăzute la</w:t>
      </w:r>
      <w:r w:rsidR="00C77788">
        <w:rPr>
          <w:rFonts w:ascii="Times New Roman" w:eastAsia="Times New Roman" w:hAnsi="Times New Roman" w:cs="Times New Roman"/>
          <w:bCs/>
          <w:sz w:val="24"/>
          <w:szCs w:val="24"/>
          <w:lang w:val="ro-MD"/>
        </w:rPr>
        <w:t xml:space="preserve"> punctul 122 subpunctul 1)</w:t>
      </w:r>
      <w:r w:rsidR="00DF37CD" w:rsidRPr="00DF37CD">
        <w:rPr>
          <w:rFonts w:ascii="Times New Roman" w:eastAsia="Times New Roman" w:hAnsi="Times New Roman" w:cs="Times New Roman"/>
          <w:bCs/>
          <w:sz w:val="24"/>
          <w:szCs w:val="24"/>
          <w:lang w:val="ro-MD"/>
        </w:rPr>
        <w:t xml:space="preserve"> cu o pondere de risc de 4 %.</w:t>
      </w:r>
    </w:p>
    <w:p w14:paraId="60BF2232" w14:textId="2E6D1A8B" w:rsidR="00A74EE2" w:rsidRDefault="00267512" w:rsidP="00DF37CD">
      <w:pPr>
        <w:spacing w:after="0" w:line="240" w:lineRule="auto"/>
        <w:ind w:firstLine="567"/>
        <w:jc w:val="both"/>
        <w:rPr>
          <w:rFonts w:ascii="Times New Roman" w:eastAsia="Times New Roman" w:hAnsi="Times New Roman" w:cs="Times New Roman"/>
          <w:bCs/>
          <w:sz w:val="24"/>
          <w:szCs w:val="24"/>
          <w:lang w:val="ro-MD"/>
        </w:rPr>
      </w:pPr>
      <w:r w:rsidRPr="00267512">
        <w:rPr>
          <w:rFonts w:ascii="Times New Roman" w:eastAsia="Times New Roman" w:hAnsi="Times New Roman" w:cs="Times New Roman"/>
          <w:b/>
          <w:sz w:val="24"/>
          <w:szCs w:val="24"/>
          <w:lang w:val="ro-MD"/>
        </w:rPr>
        <w:t>121.</w:t>
      </w:r>
      <w:r w:rsidR="00DF37CD" w:rsidRPr="00DF37CD">
        <w:rPr>
          <w:rFonts w:ascii="Times New Roman" w:eastAsia="Times New Roman" w:hAnsi="Times New Roman" w:cs="Times New Roman"/>
          <w:bCs/>
          <w:sz w:val="24"/>
          <w:szCs w:val="24"/>
          <w:lang w:val="ro-MD"/>
        </w:rPr>
        <w:t xml:space="preserve"> În cazul unei structuri a clientelei pe mai multe niveluri, o </w:t>
      </w:r>
      <w:r>
        <w:rPr>
          <w:rFonts w:ascii="Times New Roman" w:eastAsia="Times New Roman" w:hAnsi="Times New Roman" w:cs="Times New Roman"/>
          <w:bCs/>
          <w:sz w:val="24"/>
          <w:szCs w:val="24"/>
          <w:lang w:val="ro-MD"/>
        </w:rPr>
        <w:t>bancă</w:t>
      </w:r>
      <w:r w:rsidR="00DF37CD" w:rsidRPr="00DF37CD">
        <w:rPr>
          <w:rFonts w:ascii="Times New Roman" w:eastAsia="Times New Roman" w:hAnsi="Times New Roman" w:cs="Times New Roman"/>
          <w:bCs/>
          <w:sz w:val="24"/>
          <w:szCs w:val="24"/>
          <w:lang w:val="ro-MD"/>
        </w:rPr>
        <w:t xml:space="preserve"> care este client de nivel inferior și care accesează serviciile unei CPC prin intermediul unui client de nivel superior poate aplica tratamentul menţionat la </w:t>
      </w:r>
      <w:r>
        <w:rPr>
          <w:rFonts w:ascii="Times New Roman" w:eastAsia="Times New Roman" w:hAnsi="Times New Roman" w:cs="Times New Roman"/>
          <w:bCs/>
          <w:sz w:val="24"/>
          <w:szCs w:val="24"/>
          <w:lang w:val="ro-MD"/>
        </w:rPr>
        <w:t>punctul 118</w:t>
      </w:r>
      <w:r w:rsidR="00DF37CD" w:rsidRPr="00DF37CD">
        <w:rPr>
          <w:rFonts w:ascii="Times New Roman" w:eastAsia="Times New Roman" w:hAnsi="Times New Roman" w:cs="Times New Roman"/>
          <w:bCs/>
          <w:sz w:val="24"/>
          <w:szCs w:val="24"/>
          <w:lang w:val="ro-MD"/>
        </w:rPr>
        <w:t xml:space="preserve"> sau </w:t>
      </w:r>
      <w:r>
        <w:rPr>
          <w:rFonts w:ascii="Times New Roman" w:eastAsia="Times New Roman" w:hAnsi="Times New Roman" w:cs="Times New Roman"/>
          <w:bCs/>
          <w:sz w:val="24"/>
          <w:szCs w:val="24"/>
          <w:lang w:val="ro-MD"/>
        </w:rPr>
        <w:t>119</w:t>
      </w:r>
      <w:r w:rsidR="00DF37CD" w:rsidRPr="00DF37CD">
        <w:rPr>
          <w:rFonts w:ascii="Times New Roman" w:eastAsia="Times New Roman" w:hAnsi="Times New Roman" w:cs="Times New Roman"/>
          <w:bCs/>
          <w:sz w:val="24"/>
          <w:szCs w:val="24"/>
          <w:lang w:val="ro-MD"/>
        </w:rPr>
        <w:t xml:space="preserve"> numai în cazul în care condiţiile prevăzute la alineatele respective sunt îndeplinite la fiecare nivel al structurii în cauză.</w:t>
      </w:r>
    </w:p>
    <w:p w14:paraId="6DCBBD29" w14:textId="77777777" w:rsidR="00267512" w:rsidRDefault="00267512" w:rsidP="00267512">
      <w:pPr>
        <w:spacing w:after="0" w:line="240" w:lineRule="auto"/>
        <w:ind w:firstLine="567"/>
        <w:jc w:val="both"/>
        <w:rPr>
          <w:rFonts w:ascii="Times New Roman" w:eastAsia="Times New Roman" w:hAnsi="Times New Roman" w:cs="Times New Roman"/>
          <w:bCs/>
          <w:i/>
          <w:iCs/>
          <w:sz w:val="24"/>
          <w:szCs w:val="24"/>
          <w:lang w:val="ro-MD"/>
        </w:rPr>
      </w:pPr>
    </w:p>
    <w:p w14:paraId="0757614F" w14:textId="1C1DABC4" w:rsidR="00267512" w:rsidRDefault="00267512" w:rsidP="00267512">
      <w:pPr>
        <w:spacing w:after="0" w:line="240" w:lineRule="auto"/>
        <w:ind w:firstLine="567"/>
        <w:jc w:val="center"/>
        <w:rPr>
          <w:rFonts w:ascii="Times New Roman" w:eastAsia="Times New Roman" w:hAnsi="Times New Roman" w:cs="Times New Roman"/>
          <w:bCs/>
          <w:i/>
          <w:iCs/>
          <w:sz w:val="24"/>
          <w:szCs w:val="24"/>
          <w:lang w:val="ro-MD"/>
        </w:rPr>
      </w:pPr>
      <w:bookmarkStart w:id="10" w:name="_Hlk162997397"/>
      <w:r w:rsidRPr="00267512">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6</w:t>
      </w:r>
      <w:r w:rsidRPr="00267512">
        <w:rPr>
          <w:rFonts w:ascii="Times New Roman" w:eastAsia="Times New Roman" w:hAnsi="Times New Roman" w:cs="Times New Roman"/>
          <w:bCs/>
          <w:i/>
          <w:iCs/>
          <w:sz w:val="24"/>
          <w:szCs w:val="24"/>
          <w:lang w:val="ro-MD"/>
        </w:rPr>
        <w:t>-a</w:t>
      </w:r>
    </w:p>
    <w:bookmarkEnd w:id="10"/>
    <w:p w14:paraId="67EFCA43" w14:textId="1D4EBE54" w:rsidR="00267512" w:rsidRPr="0042700C" w:rsidRDefault="00267512" w:rsidP="00267512">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Cerinţele de fonduri proprii pentru expunerile din tranzacţii</w:t>
      </w:r>
    </w:p>
    <w:p w14:paraId="46CCE049" w14:textId="0DFD0159" w:rsidR="00267512" w:rsidRPr="00267512" w:rsidRDefault="00267512" w:rsidP="00267512">
      <w:pPr>
        <w:spacing w:after="0" w:line="240" w:lineRule="auto"/>
        <w:ind w:firstLine="567"/>
        <w:jc w:val="both"/>
        <w:rPr>
          <w:rFonts w:ascii="Times New Roman" w:eastAsia="Times New Roman" w:hAnsi="Times New Roman" w:cs="Times New Roman"/>
          <w:bCs/>
          <w:sz w:val="24"/>
          <w:szCs w:val="24"/>
          <w:lang w:val="ro-MD"/>
        </w:rPr>
      </w:pPr>
      <w:r w:rsidRPr="00267512">
        <w:rPr>
          <w:rFonts w:ascii="Times New Roman" w:eastAsia="Times New Roman" w:hAnsi="Times New Roman" w:cs="Times New Roman"/>
          <w:b/>
          <w:sz w:val="24"/>
          <w:szCs w:val="24"/>
          <w:lang w:val="ro-MD"/>
        </w:rPr>
        <w:t>122.</w:t>
      </w:r>
      <w:r w:rsidRPr="00267512">
        <w:rPr>
          <w:rFonts w:ascii="Times New Roman" w:eastAsia="Times New Roman" w:hAnsi="Times New Roman" w:cs="Times New Roman"/>
          <w:bCs/>
          <w:sz w:val="24"/>
          <w:szCs w:val="24"/>
          <w:lang w:val="ro-MD"/>
        </w:rPr>
        <w:t xml:space="preserve"> O </w:t>
      </w:r>
      <w:r>
        <w:rPr>
          <w:rFonts w:ascii="Times New Roman" w:eastAsia="Times New Roman" w:hAnsi="Times New Roman" w:cs="Times New Roman"/>
          <w:bCs/>
          <w:sz w:val="24"/>
          <w:szCs w:val="24"/>
          <w:lang w:val="ro-MD"/>
        </w:rPr>
        <w:t>bancă</w:t>
      </w:r>
      <w:r w:rsidRPr="00267512">
        <w:rPr>
          <w:rFonts w:ascii="Times New Roman" w:eastAsia="Times New Roman" w:hAnsi="Times New Roman" w:cs="Times New Roman"/>
          <w:bCs/>
          <w:sz w:val="24"/>
          <w:szCs w:val="24"/>
          <w:lang w:val="ro-MD"/>
        </w:rPr>
        <w:t xml:space="preserve"> aplică următorul tratament expunerilor sale din tranzacţii cu CPC:</w:t>
      </w:r>
    </w:p>
    <w:p w14:paraId="3CC535D3" w14:textId="53C1B73C" w:rsidR="00267512" w:rsidRPr="00267512" w:rsidRDefault="00267512" w:rsidP="0026751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1</w:t>
      </w:r>
      <w:r w:rsidRPr="00267512">
        <w:rPr>
          <w:rFonts w:ascii="Times New Roman" w:eastAsia="Times New Roman" w:hAnsi="Times New Roman" w:cs="Times New Roman"/>
          <w:bCs/>
          <w:sz w:val="24"/>
          <w:szCs w:val="24"/>
          <w:lang w:val="ro-MD"/>
        </w:rPr>
        <w:t>) aplică o pondere de risc de 2 % valorilor tuturor expunerilor sale din tranzacţii cu CPCC;</w:t>
      </w:r>
    </w:p>
    <w:p w14:paraId="74AEA94E" w14:textId="08CA8433" w:rsidR="00267512" w:rsidRPr="00267512" w:rsidRDefault="00267512" w:rsidP="0026751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2</w:t>
      </w:r>
      <w:r w:rsidRPr="00267512">
        <w:rPr>
          <w:rFonts w:ascii="Times New Roman" w:eastAsia="Times New Roman" w:hAnsi="Times New Roman" w:cs="Times New Roman"/>
          <w:bCs/>
          <w:sz w:val="24"/>
          <w:szCs w:val="24"/>
          <w:lang w:val="ro-MD"/>
        </w:rPr>
        <w:t xml:space="preserve">) aplică ponderea de risc utilizată în cadrul abordării standardizate pentru riscul de credit prevăzută </w:t>
      </w:r>
      <w:r w:rsidR="00AD7CDB">
        <w:rPr>
          <w:rFonts w:ascii="Times New Roman" w:eastAsia="Times New Roman" w:hAnsi="Times New Roman" w:cs="Times New Roman"/>
          <w:bCs/>
          <w:sz w:val="24"/>
          <w:szCs w:val="24"/>
          <w:lang w:val="ro-MD"/>
        </w:rPr>
        <w:t>în</w:t>
      </w:r>
      <w:r w:rsidRPr="00267512">
        <w:rPr>
          <w:rFonts w:ascii="Times New Roman" w:eastAsia="Times New Roman" w:hAnsi="Times New Roman" w:cs="Times New Roman"/>
          <w:bCs/>
          <w:sz w:val="24"/>
          <w:szCs w:val="24"/>
          <w:lang w:val="ro-MD"/>
        </w:rPr>
        <w:t xml:space="preserve"> </w:t>
      </w:r>
      <w:r w:rsidR="00AD7CDB" w:rsidRPr="00AD7CDB">
        <w:rPr>
          <w:rFonts w:ascii="Times New Roman" w:eastAsia="Times New Roman" w:hAnsi="Times New Roman" w:cs="Times New Roman"/>
          <w:bCs/>
          <w:sz w:val="24"/>
          <w:szCs w:val="24"/>
          <w:lang w:val="ro-MD"/>
        </w:rPr>
        <w:t>Regulamentul nr.111/2018 cu privire la tratamentul riscului de credit pentru bănci potrivit abordării standardizate</w:t>
      </w:r>
      <w:r w:rsidRPr="00267512">
        <w:rPr>
          <w:rFonts w:ascii="Times New Roman" w:eastAsia="Times New Roman" w:hAnsi="Times New Roman" w:cs="Times New Roman"/>
          <w:bCs/>
          <w:sz w:val="24"/>
          <w:szCs w:val="24"/>
          <w:lang w:val="ro-MD"/>
        </w:rPr>
        <w:t xml:space="preserve"> tuturor expunerilor sale din tranzacţii cu CPC necalificate; </w:t>
      </w:r>
    </w:p>
    <w:p w14:paraId="6BA20461" w14:textId="3BD0E5A7" w:rsidR="00267512" w:rsidRPr="00267512" w:rsidRDefault="00267512" w:rsidP="0026751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3</w:t>
      </w:r>
      <w:r w:rsidRPr="00267512">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Pr="00267512">
        <w:rPr>
          <w:rFonts w:ascii="Times New Roman" w:eastAsia="Times New Roman" w:hAnsi="Times New Roman" w:cs="Times New Roman"/>
          <w:bCs/>
          <w:sz w:val="24"/>
          <w:szCs w:val="24"/>
          <w:lang w:val="ro-MD"/>
        </w:rPr>
        <w:t xml:space="preserve"> acţionează ca intermediar financiar între un client și o CPC, iar condiţiile tranzacţiei legate de CPC prevăd că </w:t>
      </w:r>
      <w:r>
        <w:rPr>
          <w:rFonts w:ascii="Times New Roman" w:eastAsia="Times New Roman" w:hAnsi="Times New Roman" w:cs="Times New Roman"/>
          <w:bCs/>
          <w:sz w:val="24"/>
          <w:szCs w:val="24"/>
          <w:lang w:val="ro-MD"/>
        </w:rPr>
        <w:t>banca</w:t>
      </w:r>
      <w:r w:rsidRPr="00267512">
        <w:rPr>
          <w:rFonts w:ascii="Times New Roman" w:eastAsia="Times New Roman" w:hAnsi="Times New Roman" w:cs="Times New Roman"/>
          <w:bCs/>
          <w:sz w:val="24"/>
          <w:szCs w:val="24"/>
          <w:lang w:val="ro-MD"/>
        </w:rPr>
        <w:t xml:space="preserve"> nu este obligată să ramburseze clientului eventualele pierderi suferite ca urmare a modificărilor valorii tranzacţiei respective în cazul în care respectiva CPC intră în stare de nerambursare, </w:t>
      </w:r>
      <w:r>
        <w:rPr>
          <w:rFonts w:ascii="Times New Roman" w:eastAsia="Times New Roman" w:hAnsi="Times New Roman" w:cs="Times New Roman"/>
          <w:bCs/>
          <w:sz w:val="24"/>
          <w:szCs w:val="24"/>
          <w:lang w:val="ro-MD"/>
        </w:rPr>
        <w:t>banca</w:t>
      </w:r>
      <w:r w:rsidRPr="00267512">
        <w:rPr>
          <w:rFonts w:ascii="Times New Roman" w:eastAsia="Times New Roman" w:hAnsi="Times New Roman" w:cs="Times New Roman"/>
          <w:bCs/>
          <w:sz w:val="24"/>
          <w:szCs w:val="24"/>
          <w:lang w:val="ro-MD"/>
        </w:rPr>
        <w:t xml:space="preserve"> respectivă poate stabili ca valoarea expunerii pentru expunerea din tranzacţia cu CPC care corespunde tranzacţiei legate de CPC respective să fie egală cu zero;</w:t>
      </w:r>
    </w:p>
    <w:p w14:paraId="418EDE92" w14:textId="3E0A64FF" w:rsidR="00267512" w:rsidRPr="00267512" w:rsidRDefault="0004393E" w:rsidP="0026751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4</w:t>
      </w:r>
      <w:r w:rsidR="00267512" w:rsidRPr="00267512">
        <w:rPr>
          <w:rFonts w:ascii="Times New Roman" w:eastAsia="Times New Roman" w:hAnsi="Times New Roman" w:cs="Times New Roman"/>
          <w:bCs/>
          <w:sz w:val="24"/>
          <w:szCs w:val="24"/>
          <w:lang w:val="ro-MD"/>
        </w:rPr>
        <w:t xml:space="preserve">) în cazul în care o </w:t>
      </w:r>
      <w:r>
        <w:rPr>
          <w:rFonts w:ascii="Times New Roman" w:eastAsia="Times New Roman" w:hAnsi="Times New Roman" w:cs="Times New Roman"/>
          <w:bCs/>
          <w:sz w:val="24"/>
          <w:szCs w:val="24"/>
          <w:lang w:val="ro-MD"/>
        </w:rPr>
        <w:t>bancă</w:t>
      </w:r>
      <w:r w:rsidR="00267512" w:rsidRPr="00267512">
        <w:rPr>
          <w:rFonts w:ascii="Times New Roman" w:eastAsia="Times New Roman" w:hAnsi="Times New Roman" w:cs="Times New Roman"/>
          <w:bCs/>
          <w:sz w:val="24"/>
          <w:szCs w:val="24"/>
          <w:lang w:val="ro-MD"/>
        </w:rPr>
        <w:t xml:space="preserve"> acţionează ca intermediar financiar între un client și o CPC, iar condiţiile tranzacţiei legate de CPC prevăd că </w:t>
      </w:r>
      <w:r>
        <w:rPr>
          <w:rFonts w:ascii="Times New Roman" w:eastAsia="Times New Roman" w:hAnsi="Times New Roman" w:cs="Times New Roman"/>
          <w:bCs/>
          <w:sz w:val="24"/>
          <w:szCs w:val="24"/>
          <w:lang w:val="ro-MD"/>
        </w:rPr>
        <w:t>banca</w:t>
      </w:r>
      <w:r w:rsidR="00267512" w:rsidRPr="00267512">
        <w:rPr>
          <w:rFonts w:ascii="Times New Roman" w:eastAsia="Times New Roman" w:hAnsi="Times New Roman" w:cs="Times New Roman"/>
          <w:bCs/>
          <w:sz w:val="24"/>
          <w:szCs w:val="24"/>
          <w:lang w:val="ro-MD"/>
        </w:rPr>
        <w:t xml:space="preserve"> este obligată să ramburseze clientului eventualele pierderi suferite ca urmare a modificărilor valorii tranzacţiei respective în cazul în care respectiva CPC intră în stare de nerambursare, </w:t>
      </w:r>
      <w:r>
        <w:rPr>
          <w:rFonts w:ascii="Times New Roman" w:eastAsia="Times New Roman" w:hAnsi="Times New Roman" w:cs="Times New Roman"/>
          <w:bCs/>
          <w:sz w:val="24"/>
          <w:szCs w:val="24"/>
          <w:lang w:val="ro-MD"/>
        </w:rPr>
        <w:t>banca</w:t>
      </w:r>
      <w:r w:rsidR="00267512" w:rsidRPr="00267512">
        <w:rPr>
          <w:rFonts w:ascii="Times New Roman" w:eastAsia="Times New Roman" w:hAnsi="Times New Roman" w:cs="Times New Roman"/>
          <w:bCs/>
          <w:sz w:val="24"/>
          <w:szCs w:val="24"/>
          <w:lang w:val="ro-MD"/>
        </w:rPr>
        <w:t xml:space="preserve"> respectivă aplică tratamentul de la </w:t>
      </w:r>
      <w:r>
        <w:rPr>
          <w:rFonts w:ascii="Times New Roman" w:eastAsia="Times New Roman" w:hAnsi="Times New Roman" w:cs="Times New Roman"/>
          <w:bCs/>
          <w:sz w:val="24"/>
          <w:szCs w:val="24"/>
          <w:lang w:val="ro-MD"/>
        </w:rPr>
        <w:t>subpunctul 1)</w:t>
      </w:r>
      <w:r w:rsidR="00267512" w:rsidRPr="00267512">
        <w:rPr>
          <w:rFonts w:ascii="Times New Roman" w:eastAsia="Times New Roman" w:hAnsi="Times New Roman" w:cs="Times New Roman"/>
          <w:bCs/>
          <w:sz w:val="24"/>
          <w:szCs w:val="24"/>
          <w:lang w:val="ro-MD"/>
        </w:rPr>
        <w:t xml:space="preserve"> sau </w:t>
      </w:r>
      <w:r>
        <w:rPr>
          <w:rFonts w:ascii="Times New Roman" w:eastAsia="Times New Roman" w:hAnsi="Times New Roman" w:cs="Times New Roman"/>
          <w:bCs/>
          <w:sz w:val="24"/>
          <w:szCs w:val="24"/>
          <w:lang w:val="ro-MD"/>
        </w:rPr>
        <w:t>2</w:t>
      </w:r>
      <w:r w:rsidR="00267512" w:rsidRPr="00267512">
        <w:rPr>
          <w:rFonts w:ascii="Times New Roman" w:eastAsia="Times New Roman" w:hAnsi="Times New Roman" w:cs="Times New Roman"/>
          <w:bCs/>
          <w:sz w:val="24"/>
          <w:szCs w:val="24"/>
          <w:lang w:val="ro-MD"/>
        </w:rPr>
        <w:t>), după caz, expunerii din tranzacţia cu CPC care corespunde tranzacţiei legate de CPC respective.</w:t>
      </w:r>
    </w:p>
    <w:p w14:paraId="2390CD29" w14:textId="0800F083" w:rsidR="00267512" w:rsidRPr="00267512" w:rsidRDefault="0004393E" w:rsidP="00267512">
      <w:pPr>
        <w:spacing w:after="0" w:line="240" w:lineRule="auto"/>
        <w:ind w:firstLine="567"/>
        <w:jc w:val="both"/>
        <w:rPr>
          <w:rFonts w:ascii="Times New Roman" w:eastAsia="Times New Roman" w:hAnsi="Times New Roman" w:cs="Times New Roman"/>
          <w:bCs/>
          <w:sz w:val="24"/>
          <w:szCs w:val="24"/>
          <w:lang w:val="ro-MD"/>
        </w:rPr>
      </w:pPr>
      <w:r w:rsidRPr="0004393E">
        <w:rPr>
          <w:rFonts w:ascii="Times New Roman" w:eastAsia="Times New Roman" w:hAnsi="Times New Roman" w:cs="Times New Roman"/>
          <w:b/>
          <w:sz w:val="24"/>
          <w:szCs w:val="24"/>
          <w:lang w:val="ro-MD"/>
        </w:rPr>
        <w:t>123.</w:t>
      </w:r>
      <w:r w:rsidR="00267512" w:rsidRPr="00267512">
        <w:rPr>
          <w:rFonts w:ascii="Times New Roman" w:eastAsia="Times New Roman" w:hAnsi="Times New Roman" w:cs="Times New Roman"/>
          <w:bCs/>
          <w:sz w:val="24"/>
          <w:szCs w:val="24"/>
          <w:lang w:val="ro-MD"/>
        </w:rPr>
        <w:t xml:space="preserve"> Prin derogare de la </w:t>
      </w:r>
      <w:r>
        <w:rPr>
          <w:rFonts w:ascii="Times New Roman" w:eastAsia="Times New Roman" w:hAnsi="Times New Roman" w:cs="Times New Roman"/>
          <w:bCs/>
          <w:sz w:val="24"/>
          <w:szCs w:val="24"/>
          <w:lang w:val="ro-MD"/>
        </w:rPr>
        <w:t>punctul 122</w:t>
      </w:r>
      <w:r w:rsidR="00267512" w:rsidRPr="00267512">
        <w:rPr>
          <w:rFonts w:ascii="Times New Roman" w:eastAsia="Times New Roman" w:hAnsi="Times New Roman" w:cs="Times New Roman"/>
          <w:bCs/>
          <w:sz w:val="24"/>
          <w:szCs w:val="24"/>
          <w:lang w:val="ro-MD"/>
        </w:rPr>
        <w:t xml:space="preserve">, dacă activele date în garanţie unei CPC sau unui membru compensator sunt indisponibile în cazul în care respectiva CPC, membrul compensator ori unul sau mai mulţi dintre ceilalţi clienţi ai membrului compensator devin insolvenţi, o </w:t>
      </w:r>
      <w:r>
        <w:rPr>
          <w:rFonts w:ascii="Times New Roman" w:eastAsia="Times New Roman" w:hAnsi="Times New Roman" w:cs="Times New Roman"/>
          <w:bCs/>
          <w:sz w:val="24"/>
          <w:szCs w:val="24"/>
          <w:lang w:val="ro-MD"/>
        </w:rPr>
        <w:t>bancă</w:t>
      </w:r>
      <w:r w:rsidR="00267512" w:rsidRPr="00267512">
        <w:rPr>
          <w:rFonts w:ascii="Times New Roman" w:eastAsia="Times New Roman" w:hAnsi="Times New Roman" w:cs="Times New Roman"/>
          <w:bCs/>
          <w:sz w:val="24"/>
          <w:szCs w:val="24"/>
          <w:lang w:val="ro-MD"/>
        </w:rPr>
        <w:t xml:space="preserve"> poate atribui </w:t>
      </w:r>
      <w:r w:rsidR="00267512" w:rsidRPr="00267512">
        <w:rPr>
          <w:rFonts w:ascii="Times New Roman" w:eastAsia="Times New Roman" w:hAnsi="Times New Roman" w:cs="Times New Roman"/>
          <w:bCs/>
          <w:sz w:val="24"/>
          <w:szCs w:val="24"/>
          <w:lang w:val="ro-MD"/>
        </w:rPr>
        <w:lastRenderedPageBreak/>
        <w:t>expunerilor la riscul de credit al contrapărţii aferente activelor respective o valoare a expunerii egală cu zero.</w:t>
      </w:r>
    </w:p>
    <w:p w14:paraId="051B6322" w14:textId="641C3BDC" w:rsidR="00267512" w:rsidRPr="00267512" w:rsidRDefault="0004393E" w:rsidP="00267512">
      <w:pPr>
        <w:spacing w:after="0" w:line="240" w:lineRule="auto"/>
        <w:ind w:firstLine="567"/>
        <w:jc w:val="both"/>
        <w:rPr>
          <w:rFonts w:ascii="Times New Roman" w:eastAsia="Times New Roman" w:hAnsi="Times New Roman" w:cs="Times New Roman"/>
          <w:bCs/>
          <w:sz w:val="24"/>
          <w:szCs w:val="24"/>
          <w:lang w:val="ro-MD"/>
        </w:rPr>
      </w:pPr>
      <w:r w:rsidRPr="0004393E">
        <w:rPr>
          <w:rFonts w:ascii="Times New Roman" w:eastAsia="Times New Roman" w:hAnsi="Times New Roman" w:cs="Times New Roman"/>
          <w:b/>
          <w:sz w:val="24"/>
          <w:szCs w:val="24"/>
          <w:lang w:val="ro-MD"/>
        </w:rPr>
        <w:t>124.</w:t>
      </w:r>
      <w:r w:rsidR="00267512" w:rsidRPr="00267512">
        <w:rPr>
          <w:rFonts w:ascii="Times New Roman" w:eastAsia="Times New Roman" w:hAnsi="Times New Roman" w:cs="Times New Roman"/>
          <w:bCs/>
          <w:sz w:val="24"/>
          <w:szCs w:val="24"/>
          <w:lang w:val="ro-MD"/>
        </w:rPr>
        <w:t xml:space="preserve"> O </w:t>
      </w:r>
      <w:r>
        <w:rPr>
          <w:rFonts w:ascii="Times New Roman" w:eastAsia="Times New Roman" w:hAnsi="Times New Roman" w:cs="Times New Roman"/>
          <w:bCs/>
          <w:sz w:val="24"/>
          <w:szCs w:val="24"/>
          <w:lang w:val="ro-MD"/>
        </w:rPr>
        <w:t>bancă</w:t>
      </w:r>
      <w:r w:rsidR="00267512" w:rsidRPr="00267512">
        <w:rPr>
          <w:rFonts w:ascii="Times New Roman" w:eastAsia="Times New Roman" w:hAnsi="Times New Roman" w:cs="Times New Roman"/>
          <w:bCs/>
          <w:sz w:val="24"/>
          <w:szCs w:val="24"/>
          <w:lang w:val="ro-MD"/>
        </w:rPr>
        <w:t xml:space="preserve"> calculează valorile expunerilor pentru expunerile sale din tranzacţii cu o CPC în conformitate cu </w:t>
      </w:r>
      <w:r w:rsidR="00C77788" w:rsidRPr="00C77788">
        <w:rPr>
          <w:rFonts w:ascii="Times New Roman" w:eastAsia="Times New Roman" w:hAnsi="Times New Roman" w:cs="Times New Roman"/>
          <w:bCs/>
          <w:sz w:val="24"/>
          <w:szCs w:val="24"/>
          <w:lang w:val="ro-MD"/>
        </w:rPr>
        <w:t>capitolele I - VII din prezentul regulament, cu prevederile Regulamentului nr.112/2018 cu privire la tehnicile de diminuare a riscului de credit utilizate de bănci și Regulamentului nr.103/2020 cu privire la tratamentul riscului de ajustare a evaluării creditului pentru bănci</w:t>
      </w:r>
      <w:r w:rsidR="00267512" w:rsidRPr="00267512">
        <w:rPr>
          <w:rFonts w:ascii="Times New Roman" w:eastAsia="Times New Roman" w:hAnsi="Times New Roman" w:cs="Times New Roman"/>
          <w:bCs/>
          <w:sz w:val="24"/>
          <w:szCs w:val="24"/>
          <w:lang w:val="ro-MD"/>
        </w:rPr>
        <w:t xml:space="preserve">, după caz. </w:t>
      </w:r>
    </w:p>
    <w:p w14:paraId="5B27FEDF" w14:textId="65429D71" w:rsidR="00267512" w:rsidRDefault="0004393E" w:rsidP="00267512">
      <w:pPr>
        <w:spacing w:after="0" w:line="240" w:lineRule="auto"/>
        <w:ind w:firstLine="567"/>
        <w:jc w:val="both"/>
        <w:rPr>
          <w:rFonts w:ascii="Times New Roman" w:eastAsia="Times New Roman" w:hAnsi="Times New Roman" w:cs="Times New Roman"/>
          <w:bCs/>
          <w:sz w:val="24"/>
          <w:szCs w:val="24"/>
          <w:lang w:val="ro-MD"/>
        </w:rPr>
      </w:pPr>
      <w:r w:rsidRPr="000A42E5">
        <w:rPr>
          <w:rFonts w:ascii="Times New Roman" w:eastAsia="Times New Roman" w:hAnsi="Times New Roman" w:cs="Times New Roman"/>
          <w:b/>
          <w:sz w:val="24"/>
          <w:szCs w:val="24"/>
          <w:lang w:val="ro-MD"/>
        </w:rPr>
        <w:t>125.</w:t>
      </w:r>
      <w:r>
        <w:rPr>
          <w:rFonts w:ascii="Times New Roman" w:eastAsia="Times New Roman" w:hAnsi="Times New Roman" w:cs="Times New Roman"/>
          <w:bCs/>
          <w:sz w:val="24"/>
          <w:szCs w:val="24"/>
          <w:lang w:val="ro-MD"/>
        </w:rPr>
        <w:t xml:space="preserve"> </w:t>
      </w:r>
      <w:r w:rsidR="00267512" w:rsidRPr="00267512">
        <w:rPr>
          <w:rFonts w:ascii="Times New Roman" w:eastAsia="Times New Roman" w:hAnsi="Times New Roman" w:cs="Times New Roman"/>
          <w:bCs/>
          <w:sz w:val="24"/>
          <w:szCs w:val="24"/>
          <w:lang w:val="ro-MD"/>
        </w:rPr>
        <w:t xml:space="preserve">O </w:t>
      </w:r>
      <w:r>
        <w:rPr>
          <w:rFonts w:ascii="Times New Roman" w:eastAsia="Times New Roman" w:hAnsi="Times New Roman" w:cs="Times New Roman"/>
          <w:bCs/>
          <w:sz w:val="24"/>
          <w:szCs w:val="24"/>
          <w:lang w:val="ro-MD"/>
        </w:rPr>
        <w:t>bancă</w:t>
      </w:r>
      <w:r w:rsidR="00267512" w:rsidRPr="00267512">
        <w:rPr>
          <w:rFonts w:ascii="Times New Roman" w:eastAsia="Times New Roman" w:hAnsi="Times New Roman" w:cs="Times New Roman"/>
          <w:bCs/>
          <w:sz w:val="24"/>
          <w:szCs w:val="24"/>
          <w:lang w:val="ro-MD"/>
        </w:rPr>
        <w:t xml:space="preserve"> calculează cuantumurile ponderate la risc ale expunerilor pentru expunerile sale din tranzacţii cu CPC în sensul </w:t>
      </w:r>
      <w:r w:rsidR="00205EE9">
        <w:rPr>
          <w:rFonts w:ascii="Times New Roman" w:hAnsi="Times New Roman" w:cs="Times New Roman"/>
          <w:color w:val="000000"/>
          <w:sz w:val="24"/>
          <w:szCs w:val="24"/>
        </w:rPr>
        <w:t xml:space="preserve">punctului 132 din </w:t>
      </w:r>
      <w:r w:rsidR="00205EE9" w:rsidRPr="00205EE9">
        <w:rPr>
          <w:rFonts w:ascii="Times New Roman" w:hAnsi="Times New Roman" w:cs="Times New Roman"/>
          <w:color w:val="000000"/>
          <w:sz w:val="24"/>
          <w:szCs w:val="24"/>
        </w:rPr>
        <w:t>Regulamentul</w:t>
      </w:r>
      <w:r w:rsidR="00205EE9">
        <w:rPr>
          <w:rFonts w:ascii="Times New Roman" w:hAnsi="Times New Roman" w:cs="Times New Roman"/>
          <w:color w:val="000000"/>
          <w:sz w:val="24"/>
          <w:szCs w:val="24"/>
        </w:rPr>
        <w:t xml:space="preserve"> nr.109/2018</w:t>
      </w:r>
      <w:r w:rsidR="00205EE9" w:rsidRPr="00205EE9">
        <w:rPr>
          <w:rFonts w:ascii="Times New Roman" w:hAnsi="Times New Roman" w:cs="Times New Roman"/>
          <w:color w:val="000000"/>
          <w:sz w:val="24"/>
          <w:szCs w:val="24"/>
        </w:rPr>
        <w:t xml:space="preserve"> cu privire la fondurile proprii ale băncilor şi cerinţele de capital</w:t>
      </w:r>
      <w:r w:rsidR="00205EE9">
        <w:rPr>
          <w:rFonts w:ascii="Times New Roman" w:hAnsi="Times New Roman" w:cs="Times New Roman"/>
          <w:color w:val="000000"/>
          <w:sz w:val="24"/>
          <w:szCs w:val="24"/>
        </w:rPr>
        <w:t xml:space="preserve"> </w:t>
      </w:r>
      <w:r w:rsidR="00267512" w:rsidRPr="00267512">
        <w:rPr>
          <w:rFonts w:ascii="Times New Roman" w:eastAsia="Times New Roman" w:hAnsi="Times New Roman" w:cs="Times New Roman"/>
          <w:bCs/>
          <w:sz w:val="24"/>
          <w:szCs w:val="24"/>
          <w:lang w:val="ro-MD"/>
        </w:rPr>
        <w:t xml:space="preserve">înmulţind suma valorilor expunerilor sale din tranzacţii cu CPC, calculate în conformitate cu </w:t>
      </w:r>
      <w:r>
        <w:rPr>
          <w:rFonts w:ascii="Times New Roman" w:eastAsia="Times New Roman" w:hAnsi="Times New Roman" w:cs="Times New Roman"/>
          <w:bCs/>
          <w:sz w:val="24"/>
          <w:szCs w:val="24"/>
          <w:lang w:val="ro-MD"/>
        </w:rPr>
        <w:t>punctele 123 și 124</w:t>
      </w:r>
      <w:r w:rsidR="00267512" w:rsidRPr="00267512">
        <w:rPr>
          <w:rFonts w:ascii="Times New Roman" w:eastAsia="Times New Roman" w:hAnsi="Times New Roman" w:cs="Times New Roman"/>
          <w:bCs/>
          <w:sz w:val="24"/>
          <w:szCs w:val="24"/>
          <w:lang w:val="ro-MD"/>
        </w:rPr>
        <w:t xml:space="preserve">, cu ponderea de risc determinată în conformitate cu </w:t>
      </w:r>
      <w:r>
        <w:rPr>
          <w:rFonts w:ascii="Times New Roman" w:eastAsia="Times New Roman" w:hAnsi="Times New Roman" w:cs="Times New Roman"/>
          <w:bCs/>
          <w:sz w:val="24"/>
          <w:szCs w:val="24"/>
          <w:lang w:val="ro-MD"/>
        </w:rPr>
        <w:t>punctul 122</w:t>
      </w:r>
      <w:r w:rsidR="00267512" w:rsidRPr="00267512">
        <w:rPr>
          <w:rFonts w:ascii="Times New Roman" w:eastAsia="Times New Roman" w:hAnsi="Times New Roman" w:cs="Times New Roman"/>
          <w:bCs/>
          <w:sz w:val="24"/>
          <w:szCs w:val="24"/>
          <w:lang w:val="ro-MD"/>
        </w:rPr>
        <w:t>.</w:t>
      </w:r>
    </w:p>
    <w:p w14:paraId="2238B719" w14:textId="77777777" w:rsidR="0004393E" w:rsidRDefault="0004393E" w:rsidP="00267512">
      <w:pPr>
        <w:spacing w:after="0" w:line="240" w:lineRule="auto"/>
        <w:ind w:firstLine="567"/>
        <w:jc w:val="both"/>
        <w:rPr>
          <w:rFonts w:ascii="Times New Roman" w:eastAsia="Times New Roman" w:hAnsi="Times New Roman" w:cs="Times New Roman"/>
          <w:bCs/>
          <w:sz w:val="24"/>
          <w:szCs w:val="24"/>
          <w:lang w:val="ro-MD"/>
        </w:rPr>
      </w:pPr>
    </w:p>
    <w:p w14:paraId="787074E6" w14:textId="7B891A95" w:rsidR="000A42E5" w:rsidRDefault="000A42E5" w:rsidP="000A42E5">
      <w:pPr>
        <w:spacing w:after="0" w:line="240" w:lineRule="auto"/>
        <w:ind w:firstLine="567"/>
        <w:jc w:val="center"/>
        <w:rPr>
          <w:rFonts w:ascii="Times New Roman" w:eastAsia="Times New Roman" w:hAnsi="Times New Roman" w:cs="Times New Roman"/>
          <w:bCs/>
          <w:i/>
          <w:iCs/>
          <w:sz w:val="24"/>
          <w:szCs w:val="24"/>
          <w:lang w:val="ro-MD"/>
        </w:rPr>
      </w:pPr>
      <w:r w:rsidRPr="000A42E5">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7</w:t>
      </w:r>
      <w:r w:rsidRPr="000A42E5">
        <w:rPr>
          <w:rFonts w:ascii="Times New Roman" w:eastAsia="Times New Roman" w:hAnsi="Times New Roman" w:cs="Times New Roman"/>
          <w:bCs/>
          <w:i/>
          <w:iCs/>
          <w:sz w:val="24"/>
          <w:szCs w:val="24"/>
          <w:lang w:val="ro-MD"/>
        </w:rPr>
        <w:t>-a</w:t>
      </w:r>
    </w:p>
    <w:p w14:paraId="521BFE2D" w14:textId="3DCFA18B" w:rsidR="000A42E5" w:rsidRPr="0042700C" w:rsidRDefault="000A42E5" w:rsidP="000A42E5">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Cerinţele de fonduri proprii pentru contribuţiile la fondul de garantare al unei CPC</w:t>
      </w:r>
    </w:p>
    <w:p w14:paraId="3282381B" w14:textId="5E6F0951" w:rsidR="000A42E5" w:rsidRPr="000A42E5" w:rsidRDefault="000A42E5" w:rsidP="000A42E5">
      <w:pPr>
        <w:spacing w:after="0" w:line="240" w:lineRule="auto"/>
        <w:ind w:firstLine="567"/>
        <w:jc w:val="both"/>
        <w:rPr>
          <w:rFonts w:ascii="Times New Roman" w:eastAsia="Times New Roman" w:hAnsi="Times New Roman" w:cs="Times New Roman"/>
          <w:bCs/>
          <w:sz w:val="24"/>
          <w:szCs w:val="24"/>
          <w:lang w:val="ro-MD"/>
        </w:rPr>
      </w:pPr>
      <w:r w:rsidRPr="000A42E5">
        <w:rPr>
          <w:rFonts w:ascii="Times New Roman" w:eastAsia="Times New Roman" w:hAnsi="Times New Roman" w:cs="Times New Roman"/>
          <w:b/>
          <w:sz w:val="24"/>
          <w:szCs w:val="24"/>
          <w:lang w:val="ro-MD"/>
        </w:rPr>
        <w:t>126.</w:t>
      </w:r>
      <w:r>
        <w:rPr>
          <w:rFonts w:ascii="Times New Roman" w:eastAsia="Times New Roman" w:hAnsi="Times New Roman" w:cs="Times New Roman"/>
          <w:bCs/>
          <w:sz w:val="24"/>
          <w:szCs w:val="24"/>
          <w:lang w:val="ro-MD"/>
        </w:rPr>
        <w:t xml:space="preserve"> </w:t>
      </w:r>
      <w:r w:rsidRPr="000A42E5">
        <w:rPr>
          <w:rFonts w:ascii="Times New Roman" w:eastAsia="Times New Roman" w:hAnsi="Times New Roman" w:cs="Times New Roman"/>
          <w:bCs/>
          <w:sz w:val="24"/>
          <w:szCs w:val="24"/>
          <w:lang w:val="ro-MD"/>
        </w:rPr>
        <w:t xml:space="preserve">O </w:t>
      </w:r>
      <w:r>
        <w:rPr>
          <w:rFonts w:ascii="Times New Roman" w:eastAsia="Times New Roman" w:hAnsi="Times New Roman" w:cs="Times New Roman"/>
          <w:bCs/>
          <w:sz w:val="24"/>
          <w:szCs w:val="24"/>
          <w:lang w:val="ro-MD"/>
        </w:rPr>
        <w:t>bancă</w:t>
      </w:r>
      <w:r w:rsidRPr="000A42E5">
        <w:rPr>
          <w:rFonts w:ascii="Times New Roman" w:eastAsia="Times New Roman" w:hAnsi="Times New Roman" w:cs="Times New Roman"/>
          <w:bCs/>
          <w:sz w:val="24"/>
          <w:szCs w:val="24"/>
          <w:lang w:val="ro-MD"/>
        </w:rPr>
        <w:t xml:space="preserve"> care acţionează ca membru compensator aplică următorul tratament expunerilor sale rezultate din contribuţiile sale la fondul de garantare al unei CPC:</w:t>
      </w:r>
    </w:p>
    <w:p w14:paraId="48AF2DB0" w14:textId="40992A71" w:rsidR="000A42E5" w:rsidRPr="000A42E5" w:rsidRDefault="00576E82" w:rsidP="000A42E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1</w:t>
      </w:r>
      <w:r w:rsidR="000A42E5" w:rsidRPr="000A42E5">
        <w:rPr>
          <w:rFonts w:ascii="Times New Roman" w:eastAsia="Times New Roman" w:hAnsi="Times New Roman" w:cs="Times New Roman"/>
          <w:bCs/>
          <w:sz w:val="24"/>
          <w:szCs w:val="24"/>
          <w:lang w:val="ro-MD"/>
        </w:rPr>
        <w:t xml:space="preserve">) calculează cerinţa de fonduri proprii pentru contribuţiile sale prefinanţate la fondul de garantare al unei CPCC în conformitate cu abordarea prevăzută </w:t>
      </w:r>
      <w:bookmarkStart w:id="11" w:name="_Hlk163078018"/>
      <w:r w:rsidR="000A42E5" w:rsidRPr="000A42E5">
        <w:rPr>
          <w:rFonts w:ascii="Times New Roman" w:eastAsia="Times New Roman" w:hAnsi="Times New Roman" w:cs="Times New Roman"/>
          <w:bCs/>
          <w:sz w:val="24"/>
          <w:szCs w:val="24"/>
          <w:lang w:val="ro-MD"/>
        </w:rPr>
        <w:t xml:space="preserve">la </w:t>
      </w:r>
      <w:r w:rsidR="00C77788">
        <w:rPr>
          <w:rFonts w:ascii="Times New Roman" w:eastAsia="Times New Roman" w:hAnsi="Times New Roman" w:cs="Times New Roman"/>
          <w:bCs/>
          <w:sz w:val="24"/>
          <w:szCs w:val="24"/>
          <w:lang w:val="ro-MD"/>
        </w:rPr>
        <w:t>s</w:t>
      </w:r>
      <w:r w:rsidR="00C77788" w:rsidRPr="00C77788">
        <w:rPr>
          <w:rFonts w:ascii="Times New Roman" w:eastAsia="Times New Roman" w:hAnsi="Times New Roman" w:cs="Times New Roman"/>
          <w:bCs/>
          <w:sz w:val="24"/>
          <w:szCs w:val="24"/>
          <w:lang w:val="ro-MD"/>
        </w:rPr>
        <w:t>ecţiunea a 8-a</w:t>
      </w:r>
      <w:bookmarkEnd w:id="11"/>
      <w:r w:rsidR="000A42E5" w:rsidRPr="000A42E5">
        <w:rPr>
          <w:rFonts w:ascii="Times New Roman" w:eastAsia="Times New Roman" w:hAnsi="Times New Roman" w:cs="Times New Roman"/>
          <w:bCs/>
          <w:sz w:val="24"/>
          <w:szCs w:val="24"/>
          <w:lang w:val="ro-MD"/>
        </w:rPr>
        <w:t>;</w:t>
      </w:r>
    </w:p>
    <w:p w14:paraId="03789687" w14:textId="5A2382CA" w:rsidR="000A42E5" w:rsidRPr="000A42E5" w:rsidRDefault="00576E82" w:rsidP="000A42E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2</w:t>
      </w:r>
      <w:r w:rsidR="000A42E5" w:rsidRPr="000A42E5">
        <w:rPr>
          <w:rFonts w:ascii="Times New Roman" w:eastAsia="Times New Roman" w:hAnsi="Times New Roman" w:cs="Times New Roman"/>
          <w:bCs/>
          <w:sz w:val="24"/>
          <w:szCs w:val="24"/>
          <w:lang w:val="ro-MD"/>
        </w:rPr>
        <w:t xml:space="preserve">) calculează cerinţa de fonduri proprii pentru contribuţiile sale prefinanţate și nefinanţate la fondul de garantare al unei CPC necalificate în conformitate cu abordarea prevăzută </w:t>
      </w:r>
      <w:r w:rsidR="00C77788" w:rsidRPr="00C77788">
        <w:rPr>
          <w:rFonts w:ascii="Times New Roman" w:eastAsia="Times New Roman" w:hAnsi="Times New Roman" w:cs="Times New Roman"/>
          <w:bCs/>
          <w:sz w:val="24"/>
          <w:szCs w:val="24"/>
          <w:lang w:val="ro-MD"/>
        </w:rPr>
        <w:t xml:space="preserve">la secţiunea a </w:t>
      </w:r>
      <w:r w:rsidR="00C77788">
        <w:rPr>
          <w:rFonts w:ascii="Times New Roman" w:eastAsia="Times New Roman" w:hAnsi="Times New Roman" w:cs="Times New Roman"/>
          <w:bCs/>
          <w:sz w:val="24"/>
          <w:szCs w:val="24"/>
          <w:lang w:val="ro-MD"/>
        </w:rPr>
        <w:t>9</w:t>
      </w:r>
      <w:r w:rsidR="00C77788" w:rsidRPr="00C77788">
        <w:rPr>
          <w:rFonts w:ascii="Times New Roman" w:eastAsia="Times New Roman" w:hAnsi="Times New Roman" w:cs="Times New Roman"/>
          <w:bCs/>
          <w:sz w:val="24"/>
          <w:szCs w:val="24"/>
          <w:lang w:val="ro-MD"/>
        </w:rPr>
        <w:t>-a</w:t>
      </w:r>
      <w:r w:rsidR="000A42E5" w:rsidRPr="000A42E5">
        <w:rPr>
          <w:rFonts w:ascii="Times New Roman" w:eastAsia="Times New Roman" w:hAnsi="Times New Roman" w:cs="Times New Roman"/>
          <w:bCs/>
          <w:sz w:val="24"/>
          <w:szCs w:val="24"/>
          <w:lang w:val="ro-MD"/>
        </w:rPr>
        <w:t>;</w:t>
      </w:r>
    </w:p>
    <w:p w14:paraId="1BA5FEC8" w14:textId="0D2502D5" w:rsidR="00267512" w:rsidRDefault="000A42E5" w:rsidP="000A42E5">
      <w:pPr>
        <w:spacing w:after="0" w:line="240" w:lineRule="auto"/>
        <w:ind w:firstLine="567"/>
        <w:jc w:val="both"/>
        <w:rPr>
          <w:rFonts w:ascii="Times New Roman" w:eastAsia="Times New Roman" w:hAnsi="Times New Roman" w:cs="Times New Roman"/>
          <w:bCs/>
          <w:sz w:val="24"/>
          <w:szCs w:val="24"/>
          <w:lang w:val="ro-MD"/>
        </w:rPr>
      </w:pPr>
      <w:r w:rsidRPr="000A42E5">
        <w:rPr>
          <w:rFonts w:ascii="Times New Roman" w:eastAsia="Times New Roman" w:hAnsi="Times New Roman" w:cs="Times New Roman"/>
          <w:bCs/>
          <w:sz w:val="24"/>
          <w:szCs w:val="24"/>
          <w:lang w:val="ro-MD"/>
        </w:rPr>
        <w:t xml:space="preserve">(c) calculează cerinţa de fonduri proprii pentru contribuţiile sale nefinanţate la fondul de garantare al unei CPCC în conformitate cu abordarea prevăzută la </w:t>
      </w:r>
      <w:r w:rsidR="00C77788" w:rsidRPr="00C77788">
        <w:rPr>
          <w:rFonts w:ascii="Times New Roman" w:eastAsia="Times New Roman" w:hAnsi="Times New Roman" w:cs="Times New Roman"/>
          <w:bCs/>
          <w:sz w:val="24"/>
          <w:szCs w:val="24"/>
          <w:lang w:val="ro-MD"/>
        </w:rPr>
        <w:t xml:space="preserve">secţiunea a </w:t>
      </w:r>
      <w:r w:rsidR="00C77788">
        <w:rPr>
          <w:rFonts w:ascii="Times New Roman" w:eastAsia="Times New Roman" w:hAnsi="Times New Roman" w:cs="Times New Roman"/>
          <w:bCs/>
          <w:sz w:val="24"/>
          <w:szCs w:val="24"/>
          <w:lang w:val="ro-MD"/>
        </w:rPr>
        <w:t>10</w:t>
      </w:r>
      <w:r w:rsidR="00C77788" w:rsidRPr="00C77788">
        <w:rPr>
          <w:rFonts w:ascii="Times New Roman" w:eastAsia="Times New Roman" w:hAnsi="Times New Roman" w:cs="Times New Roman"/>
          <w:bCs/>
          <w:sz w:val="24"/>
          <w:szCs w:val="24"/>
          <w:lang w:val="ro-MD"/>
        </w:rPr>
        <w:t>-a</w:t>
      </w:r>
      <w:r w:rsidRPr="000A42E5">
        <w:rPr>
          <w:rFonts w:ascii="Times New Roman" w:eastAsia="Times New Roman" w:hAnsi="Times New Roman" w:cs="Times New Roman"/>
          <w:bCs/>
          <w:sz w:val="24"/>
          <w:szCs w:val="24"/>
          <w:lang w:val="ro-MD"/>
        </w:rPr>
        <w:t>.</w:t>
      </w:r>
    </w:p>
    <w:p w14:paraId="174D41FA" w14:textId="77777777" w:rsidR="00267512" w:rsidRDefault="00267512" w:rsidP="00267512">
      <w:pPr>
        <w:spacing w:after="0" w:line="240" w:lineRule="auto"/>
        <w:ind w:firstLine="567"/>
        <w:jc w:val="both"/>
        <w:rPr>
          <w:rFonts w:ascii="Times New Roman" w:eastAsia="Times New Roman" w:hAnsi="Times New Roman" w:cs="Times New Roman"/>
          <w:bCs/>
          <w:sz w:val="24"/>
          <w:szCs w:val="24"/>
          <w:lang w:val="ro-MD"/>
        </w:rPr>
      </w:pPr>
    </w:p>
    <w:p w14:paraId="26044BA5" w14:textId="025EB6FE" w:rsidR="00B221C3" w:rsidRDefault="00B221C3" w:rsidP="00B221C3">
      <w:pPr>
        <w:spacing w:after="0" w:line="240" w:lineRule="auto"/>
        <w:ind w:firstLine="567"/>
        <w:jc w:val="center"/>
        <w:rPr>
          <w:rFonts w:ascii="Times New Roman" w:eastAsia="Times New Roman" w:hAnsi="Times New Roman" w:cs="Times New Roman"/>
          <w:bCs/>
          <w:i/>
          <w:iCs/>
          <w:sz w:val="24"/>
          <w:szCs w:val="24"/>
          <w:lang w:val="ro-MD"/>
        </w:rPr>
      </w:pPr>
      <w:bookmarkStart w:id="12" w:name="_Hlk163077956"/>
      <w:r w:rsidRPr="000A42E5">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8</w:t>
      </w:r>
      <w:r w:rsidRPr="000A42E5">
        <w:rPr>
          <w:rFonts w:ascii="Times New Roman" w:eastAsia="Times New Roman" w:hAnsi="Times New Roman" w:cs="Times New Roman"/>
          <w:bCs/>
          <w:i/>
          <w:iCs/>
          <w:sz w:val="24"/>
          <w:szCs w:val="24"/>
          <w:lang w:val="ro-MD"/>
        </w:rPr>
        <w:t>-a</w:t>
      </w:r>
    </w:p>
    <w:bookmarkEnd w:id="12"/>
    <w:p w14:paraId="16FFA32C" w14:textId="3FFA30D4" w:rsidR="00B221C3" w:rsidRPr="0042700C" w:rsidRDefault="00B221C3" w:rsidP="00B221C3">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Cerinţele de fonduri proprii pentru contribuţiile prefinanţate la fondul de garantare al unei CPCC</w:t>
      </w:r>
    </w:p>
    <w:p w14:paraId="5C184952" w14:textId="2F4EF977" w:rsidR="00B221C3" w:rsidRPr="00B221C3" w:rsidRDefault="00B221C3" w:rsidP="00B221C3">
      <w:pPr>
        <w:spacing w:after="0" w:line="240" w:lineRule="auto"/>
        <w:ind w:firstLine="567"/>
        <w:jc w:val="both"/>
        <w:rPr>
          <w:rFonts w:ascii="Times New Roman" w:eastAsia="Times New Roman" w:hAnsi="Times New Roman" w:cs="Times New Roman"/>
          <w:b/>
          <w:sz w:val="24"/>
          <w:szCs w:val="24"/>
          <w:lang w:val="ro-MD"/>
        </w:rPr>
      </w:pPr>
      <w:r w:rsidRPr="00B221C3">
        <w:rPr>
          <w:rFonts w:ascii="Times New Roman" w:eastAsia="Times New Roman" w:hAnsi="Times New Roman" w:cs="Times New Roman"/>
          <w:b/>
          <w:sz w:val="24"/>
          <w:szCs w:val="24"/>
          <w:lang w:val="ro-MD"/>
        </w:rPr>
        <w:t xml:space="preserve">127. </w:t>
      </w:r>
      <w:r w:rsidRPr="00B221C3">
        <w:rPr>
          <w:rFonts w:ascii="Times New Roman" w:eastAsia="Times New Roman" w:hAnsi="Times New Roman" w:cs="Times New Roman"/>
          <w:bCs/>
          <w:sz w:val="24"/>
          <w:szCs w:val="24"/>
          <w:lang w:val="ro-MD"/>
        </w:rPr>
        <w:t xml:space="preserve">Valoarea expunerii aferente contribuţiei prefinanţate (DFi) a unei </w:t>
      </w:r>
      <w:r>
        <w:rPr>
          <w:rFonts w:ascii="Times New Roman" w:eastAsia="Times New Roman" w:hAnsi="Times New Roman" w:cs="Times New Roman"/>
          <w:bCs/>
          <w:sz w:val="24"/>
          <w:szCs w:val="24"/>
          <w:lang w:val="ro-MD"/>
        </w:rPr>
        <w:t>bănci</w:t>
      </w:r>
      <w:r w:rsidRPr="00B221C3">
        <w:rPr>
          <w:rFonts w:ascii="Times New Roman" w:eastAsia="Times New Roman" w:hAnsi="Times New Roman" w:cs="Times New Roman"/>
          <w:bCs/>
          <w:sz w:val="24"/>
          <w:szCs w:val="24"/>
          <w:lang w:val="ro-MD"/>
        </w:rPr>
        <w:t xml:space="preserve"> la fondul de garantare al unei CPCC reprezintă suma plătită sau valoarea de piaţă a activelor furnizate de </w:t>
      </w:r>
      <w:r>
        <w:rPr>
          <w:rFonts w:ascii="Times New Roman" w:eastAsia="Times New Roman" w:hAnsi="Times New Roman" w:cs="Times New Roman"/>
          <w:bCs/>
          <w:sz w:val="24"/>
          <w:szCs w:val="24"/>
          <w:lang w:val="ro-MD"/>
        </w:rPr>
        <w:t>banca</w:t>
      </w:r>
      <w:r w:rsidRPr="00B221C3">
        <w:rPr>
          <w:rFonts w:ascii="Times New Roman" w:eastAsia="Times New Roman" w:hAnsi="Times New Roman" w:cs="Times New Roman"/>
          <w:bCs/>
          <w:sz w:val="24"/>
          <w:szCs w:val="24"/>
          <w:lang w:val="ro-MD"/>
        </w:rPr>
        <w:t xml:space="preserve"> respectivă din care se scade orice sumă din contribuţia respectivă pe care CPCC a utilizat-o deja pentru a-și absorbi pierderile cauzate de intrarea în stare de nerambursare a unuia sau a mai multora dintre membrii săi compensatori.</w:t>
      </w:r>
    </w:p>
    <w:p w14:paraId="4321E7FB" w14:textId="7CB8E975" w:rsidR="00B221C3" w:rsidRPr="00B221C3" w:rsidRDefault="00B221C3" w:rsidP="00B221C3">
      <w:pPr>
        <w:pStyle w:val="CM4"/>
        <w:spacing w:before="60" w:after="60"/>
        <w:ind w:firstLine="567"/>
        <w:jc w:val="both"/>
        <w:rPr>
          <w:color w:val="000000"/>
        </w:rPr>
      </w:pPr>
      <w:r w:rsidRPr="00B221C3">
        <w:rPr>
          <w:b/>
          <w:bCs/>
          <w:color w:val="000000"/>
        </w:rPr>
        <w:t>128.</w:t>
      </w:r>
      <w:r w:rsidRPr="00B221C3">
        <w:rPr>
          <w:color w:val="000000"/>
        </w:rPr>
        <w:t xml:space="preserve"> O </w:t>
      </w:r>
      <w:r>
        <w:rPr>
          <w:color w:val="000000"/>
        </w:rPr>
        <w:t>bancă</w:t>
      </w:r>
      <w:r w:rsidRPr="00B221C3">
        <w:rPr>
          <w:color w:val="000000"/>
        </w:rPr>
        <w:t xml:space="preserve"> calculează cerinţa de fonduri proprii pentru a acoperi expunerea provenind din contribuţia sa prefinanţată după cum urmează: </w:t>
      </w:r>
    </w:p>
    <w:p w14:paraId="06CD50CB" w14:textId="77777777" w:rsidR="00B221C3" w:rsidRPr="00B221C3" w:rsidRDefault="00B221C3" w:rsidP="00B221C3">
      <w:pPr>
        <w:jc w:val="center"/>
        <w:rPr>
          <w:sz w:val="24"/>
          <w:szCs w:val="24"/>
        </w:rPr>
      </w:pPr>
      <w:r w:rsidRPr="00B221C3">
        <w:rPr>
          <w:noProof/>
          <w:sz w:val="24"/>
          <w:szCs w:val="24"/>
        </w:rPr>
        <w:drawing>
          <wp:inline distT="0" distB="0" distL="0" distR="0" wp14:anchorId="5CAF9213" wp14:editId="5683BA58">
            <wp:extent cx="2889849" cy="355275"/>
            <wp:effectExtent l="0" t="0" r="6350" b="6985"/>
            <wp:docPr id="1573725643"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32053" cy="360464"/>
                    </a:xfrm>
                    <a:prstGeom prst="rect">
                      <a:avLst/>
                    </a:prstGeom>
                    <a:noFill/>
                    <a:ln>
                      <a:noFill/>
                    </a:ln>
                  </pic:spPr>
                </pic:pic>
              </a:graphicData>
            </a:graphic>
          </wp:inline>
        </w:drawing>
      </w:r>
    </w:p>
    <w:p w14:paraId="0DA12F9A" w14:textId="77777777" w:rsidR="00B221C3" w:rsidRPr="00B221C3" w:rsidRDefault="00B221C3" w:rsidP="00B221C3">
      <w:pPr>
        <w:pStyle w:val="CM4"/>
        <w:spacing w:before="60" w:after="60"/>
        <w:jc w:val="both"/>
        <w:rPr>
          <w:color w:val="000000"/>
        </w:rPr>
      </w:pPr>
      <w:r w:rsidRPr="00B221C3">
        <w:rPr>
          <w:color w:val="000000"/>
        </w:rPr>
        <w:t xml:space="preserve">unde: </w:t>
      </w:r>
    </w:p>
    <w:p w14:paraId="7BABCEBB" w14:textId="77777777" w:rsidR="00B221C3" w:rsidRPr="00B221C3" w:rsidRDefault="00B221C3" w:rsidP="00B221C3">
      <w:pPr>
        <w:pStyle w:val="CM4"/>
        <w:spacing w:before="60" w:after="60"/>
        <w:jc w:val="both"/>
        <w:rPr>
          <w:color w:val="000000"/>
        </w:rPr>
      </w:pPr>
      <w:r w:rsidRPr="00B221C3">
        <w:rPr>
          <w:color w:val="000000"/>
        </w:rPr>
        <w:t>K</w:t>
      </w:r>
      <w:r w:rsidRPr="00B221C3">
        <w:rPr>
          <w:color w:val="000000"/>
          <w:vertAlign w:val="subscript"/>
        </w:rPr>
        <w:t xml:space="preserve">i </w:t>
      </w:r>
      <w:r w:rsidRPr="00B221C3">
        <w:rPr>
          <w:color w:val="000000"/>
        </w:rPr>
        <w:t xml:space="preserve">= cerinţa de fonduri proprii; </w:t>
      </w:r>
    </w:p>
    <w:p w14:paraId="0926C716" w14:textId="77777777" w:rsidR="00B221C3" w:rsidRPr="00B221C3" w:rsidRDefault="00B221C3" w:rsidP="00B221C3">
      <w:pPr>
        <w:pStyle w:val="CM4"/>
        <w:spacing w:before="60" w:after="60"/>
        <w:jc w:val="both"/>
        <w:rPr>
          <w:color w:val="000000"/>
        </w:rPr>
      </w:pPr>
      <w:r w:rsidRPr="00B221C3">
        <w:rPr>
          <w:color w:val="000000"/>
        </w:rPr>
        <w:t xml:space="preserve">i = indicele care desemnează membrul compensator; </w:t>
      </w:r>
    </w:p>
    <w:p w14:paraId="2FB040E1" w14:textId="620AEAB4" w:rsidR="00B221C3" w:rsidRPr="00B221C3" w:rsidRDefault="00B221C3" w:rsidP="00B221C3">
      <w:pPr>
        <w:pStyle w:val="CM4"/>
        <w:spacing w:before="60" w:after="60"/>
        <w:jc w:val="both"/>
        <w:rPr>
          <w:color w:val="000000"/>
        </w:rPr>
      </w:pPr>
      <w:r w:rsidRPr="00B221C3">
        <w:rPr>
          <w:color w:val="000000"/>
        </w:rPr>
        <w:t>K</w:t>
      </w:r>
      <w:r w:rsidRPr="00B221C3">
        <w:rPr>
          <w:color w:val="000000"/>
          <w:vertAlign w:val="subscript"/>
        </w:rPr>
        <w:t xml:space="preserve">CCP </w:t>
      </w:r>
      <w:r w:rsidRPr="00B221C3">
        <w:rPr>
          <w:color w:val="000000"/>
        </w:rPr>
        <w:t xml:space="preserve">= capitalul ipotetic al CPCC comunicat </w:t>
      </w:r>
      <w:r w:rsidR="00E13D11">
        <w:rPr>
          <w:color w:val="000000"/>
        </w:rPr>
        <w:t>băncii</w:t>
      </w:r>
      <w:r w:rsidRPr="00B221C3">
        <w:rPr>
          <w:color w:val="000000"/>
        </w:rPr>
        <w:t xml:space="preserve"> de CPCC</w:t>
      </w:r>
      <w:r w:rsidR="00E13D11">
        <w:rPr>
          <w:color w:val="000000"/>
        </w:rPr>
        <w:t>;</w:t>
      </w:r>
    </w:p>
    <w:p w14:paraId="17B5BFD2" w14:textId="77777777" w:rsidR="00B221C3" w:rsidRPr="00B221C3" w:rsidRDefault="00B221C3" w:rsidP="00B221C3">
      <w:pPr>
        <w:pStyle w:val="CM4"/>
        <w:spacing w:before="60" w:after="60"/>
        <w:jc w:val="both"/>
        <w:rPr>
          <w:color w:val="000000"/>
        </w:rPr>
      </w:pPr>
      <w:r w:rsidRPr="00B221C3">
        <w:rPr>
          <w:color w:val="000000"/>
        </w:rPr>
        <w:t>DF</w:t>
      </w:r>
      <w:r w:rsidRPr="00B221C3">
        <w:rPr>
          <w:color w:val="000000"/>
          <w:vertAlign w:val="subscript"/>
        </w:rPr>
        <w:t>i</w:t>
      </w:r>
      <w:r w:rsidRPr="00B221C3">
        <w:rPr>
          <w:color w:val="000000"/>
        </w:rPr>
        <w:t xml:space="preserve"> = contribuţia prefinanţată; </w:t>
      </w:r>
    </w:p>
    <w:p w14:paraId="328CAB17" w14:textId="0A1578D9" w:rsidR="00B221C3" w:rsidRPr="00B221C3" w:rsidRDefault="00B221C3" w:rsidP="00B221C3">
      <w:pPr>
        <w:pStyle w:val="CM4"/>
        <w:spacing w:before="60" w:after="60"/>
        <w:jc w:val="both"/>
        <w:rPr>
          <w:color w:val="000000"/>
        </w:rPr>
      </w:pPr>
      <w:r w:rsidRPr="00B221C3">
        <w:rPr>
          <w:color w:val="000000"/>
        </w:rPr>
        <w:t>DF</w:t>
      </w:r>
      <w:r w:rsidRPr="00B221C3">
        <w:rPr>
          <w:color w:val="000000"/>
          <w:vertAlign w:val="subscript"/>
        </w:rPr>
        <w:t>CCP</w:t>
      </w:r>
      <w:r w:rsidRPr="00B221C3">
        <w:rPr>
          <w:color w:val="000000"/>
        </w:rPr>
        <w:t xml:space="preserve"> = resursele financiare prefinanţate ale CPC comunicate </w:t>
      </w:r>
      <w:r w:rsidR="00E13D11">
        <w:rPr>
          <w:color w:val="000000"/>
        </w:rPr>
        <w:t>băncii</w:t>
      </w:r>
      <w:r w:rsidRPr="00B221C3">
        <w:rPr>
          <w:color w:val="000000"/>
        </w:rPr>
        <w:t xml:space="preserve"> de CPC</w:t>
      </w:r>
      <w:r w:rsidR="00E13D11">
        <w:rPr>
          <w:color w:val="000000"/>
        </w:rPr>
        <w:t xml:space="preserve">; </w:t>
      </w:r>
      <w:r w:rsidRPr="00B221C3">
        <w:rPr>
          <w:color w:val="000000"/>
        </w:rPr>
        <w:t xml:space="preserve">și </w:t>
      </w:r>
    </w:p>
    <w:p w14:paraId="598C55FD" w14:textId="3E1CE394" w:rsidR="00B221C3" w:rsidRPr="00B221C3" w:rsidRDefault="00B221C3" w:rsidP="00B221C3">
      <w:pPr>
        <w:pStyle w:val="CM4"/>
        <w:spacing w:before="60" w:after="60"/>
        <w:jc w:val="both"/>
        <w:rPr>
          <w:color w:val="000000"/>
        </w:rPr>
      </w:pPr>
      <w:r w:rsidRPr="00B221C3">
        <w:rPr>
          <w:color w:val="000000"/>
        </w:rPr>
        <w:t>DF</w:t>
      </w:r>
      <w:r w:rsidRPr="00B221C3">
        <w:rPr>
          <w:color w:val="000000"/>
          <w:vertAlign w:val="subscript"/>
        </w:rPr>
        <w:t>CM</w:t>
      </w:r>
      <w:r w:rsidRPr="00B221C3">
        <w:rPr>
          <w:color w:val="000000"/>
        </w:rPr>
        <w:t xml:space="preserve"> = suma contribuţiilor prefinanţate ale tuturor membrilor compensatori ai CPCC comunicată </w:t>
      </w:r>
      <w:r w:rsidR="00E13D11">
        <w:rPr>
          <w:color w:val="000000"/>
        </w:rPr>
        <w:t>băncii</w:t>
      </w:r>
      <w:r w:rsidRPr="00B221C3">
        <w:rPr>
          <w:color w:val="000000"/>
        </w:rPr>
        <w:t xml:space="preserve"> de CPCC</w:t>
      </w:r>
      <w:r w:rsidR="00E13D11">
        <w:rPr>
          <w:color w:val="000000"/>
        </w:rPr>
        <w:t>.</w:t>
      </w:r>
    </w:p>
    <w:p w14:paraId="26E19B6D" w14:textId="1C8A7CDE" w:rsidR="00CF0F55" w:rsidRDefault="00B221C3"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B221C3">
        <w:rPr>
          <w:rFonts w:ascii="Times New Roman" w:hAnsi="Times New Roman" w:cs="Times New Roman"/>
          <w:b/>
          <w:bCs/>
          <w:color w:val="000000"/>
          <w:sz w:val="24"/>
          <w:szCs w:val="24"/>
        </w:rPr>
        <w:lastRenderedPageBreak/>
        <w:t>129.</w:t>
      </w:r>
      <w:r w:rsidRPr="00B221C3">
        <w:rPr>
          <w:rFonts w:ascii="Times New Roman" w:hAnsi="Times New Roman" w:cs="Times New Roman"/>
          <w:color w:val="000000"/>
          <w:sz w:val="24"/>
          <w:szCs w:val="24"/>
        </w:rPr>
        <w:t xml:space="preserve"> O </w:t>
      </w:r>
      <w:r>
        <w:rPr>
          <w:rFonts w:ascii="Times New Roman" w:hAnsi="Times New Roman" w:cs="Times New Roman"/>
          <w:color w:val="000000"/>
          <w:sz w:val="24"/>
          <w:szCs w:val="24"/>
        </w:rPr>
        <w:t>bancă</w:t>
      </w:r>
      <w:r w:rsidRPr="00B221C3">
        <w:rPr>
          <w:rFonts w:ascii="Times New Roman" w:hAnsi="Times New Roman" w:cs="Times New Roman"/>
          <w:color w:val="000000"/>
          <w:sz w:val="24"/>
          <w:szCs w:val="24"/>
        </w:rPr>
        <w:t xml:space="preserve"> calculează valorile ponderate la risc ale expunerilor pentru expunerile rezultate din contribuţia prefinanţată a </w:t>
      </w:r>
      <w:r>
        <w:rPr>
          <w:rFonts w:ascii="Times New Roman" w:hAnsi="Times New Roman" w:cs="Times New Roman"/>
          <w:color w:val="000000"/>
          <w:sz w:val="24"/>
          <w:szCs w:val="24"/>
        </w:rPr>
        <w:t>băncii</w:t>
      </w:r>
      <w:r w:rsidRPr="00B221C3">
        <w:rPr>
          <w:rFonts w:ascii="Times New Roman" w:hAnsi="Times New Roman" w:cs="Times New Roman"/>
          <w:color w:val="000000"/>
          <w:sz w:val="24"/>
          <w:szCs w:val="24"/>
        </w:rPr>
        <w:t xml:space="preserve"> respective la fondul de garantare al unei CPCC în sensul </w:t>
      </w:r>
      <w:r w:rsidR="00205EE9" w:rsidRPr="00205EE9">
        <w:rPr>
          <w:rFonts w:ascii="Times New Roman" w:hAnsi="Times New Roman" w:cs="Times New Roman"/>
          <w:color w:val="000000"/>
          <w:sz w:val="24"/>
          <w:szCs w:val="24"/>
        </w:rPr>
        <w:t>punctului 132 din Regulamentul nr.109/2018 cu privire la fondurile proprii ale băncilor şi cerinţele de capital prin înmulțirea cu 10</w:t>
      </w:r>
      <w:r w:rsidR="00205EE9">
        <w:rPr>
          <w:rFonts w:ascii="Times New Roman" w:hAnsi="Times New Roman" w:cs="Times New Roman"/>
          <w:color w:val="000000"/>
          <w:sz w:val="24"/>
          <w:szCs w:val="24"/>
        </w:rPr>
        <w:t xml:space="preserve"> </w:t>
      </w:r>
      <w:r w:rsidRPr="00B221C3">
        <w:rPr>
          <w:rFonts w:ascii="Times New Roman" w:hAnsi="Times New Roman" w:cs="Times New Roman"/>
          <w:color w:val="000000"/>
          <w:sz w:val="24"/>
          <w:szCs w:val="24"/>
        </w:rPr>
        <w:t xml:space="preserve">a cerinţei de fonduri proprii calculate în conformitate cu </w:t>
      </w:r>
      <w:r>
        <w:rPr>
          <w:rFonts w:ascii="Times New Roman" w:hAnsi="Times New Roman" w:cs="Times New Roman"/>
          <w:color w:val="000000"/>
          <w:sz w:val="24"/>
          <w:szCs w:val="24"/>
        </w:rPr>
        <w:t xml:space="preserve">punctul </w:t>
      </w:r>
      <w:r w:rsidR="00356C55">
        <w:rPr>
          <w:rFonts w:ascii="Times New Roman" w:hAnsi="Times New Roman" w:cs="Times New Roman"/>
          <w:color w:val="000000"/>
          <w:sz w:val="24"/>
          <w:szCs w:val="24"/>
        </w:rPr>
        <w:t>128.</w:t>
      </w:r>
    </w:p>
    <w:p w14:paraId="0B67F064" w14:textId="03809262" w:rsidR="00CF0F55" w:rsidRDefault="00CF0F55" w:rsidP="00CF0F55">
      <w:pPr>
        <w:spacing w:after="0" w:line="240" w:lineRule="auto"/>
        <w:ind w:firstLine="567"/>
        <w:jc w:val="center"/>
        <w:rPr>
          <w:rFonts w:ascii="Times New Roman" w:eastAsia="Times New Roman" w:hAnsi="Times New Roman" w:cs="Times New Roman"/>
          <w:bCs/>
          <w:i/>
          <w:iCs/>
          <w:sz w:val="24"/>
          <w:szCs w:val="24"/>
          <w:lang w:val="ro-MD"/>
        </w:rPr>
      </w:pPr>
      <w:r w:rsidRPr="000A42E5">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9</w:t>
      </w:r>
      <w:r w:rsidRPr="000A42E5">
        <w:rPr>
          <w:rFonts w:ascii="Times New Roman" w:eastAsia="Times New Roman" w:hAnsi="Times New Roman" w:cs="Times New Roman"/>
          <w:bCs/>
          <w:i/>
          <w:iCs/>
          <w:sz w:val="24"/>
          <w:szCs w:val="24"/>
          <w:lang w:val="ro-MD"/>
        </w:rPr>
        <w:t>-a</w:t>
      </w:r>
    </w:p>
    <w:p w14:paraId="0B40D4FB" w14:textId="72F6CC4F" w:rsidR="00CF0F55" w:rsidRPr="0042700C" w:rsidRDefault="00CF0F55" w:rsidP="00CF0F55">
      <w:pPr>
        <w:spacing w:after="0" w:line="240" w:lineRule="auto"/>
        <w:ind w:firstLine="567"/>
        <w:jc w:val="center"/>
        <w:rPr>
          <w:rFonts w:ascii="Times New Roman" w:hAnsi="Times New Roman" w:cs="Times New Roman"/>
          <w:b/>
          <w:bCs/>
          <w:color w:val="000000"/>
          <w:sz w:val="24"/>
          <w:szCs w:val="24"/>
        </w:rPr>
      </w:pPr>
      <w:r w:rsidRPr="0042700C">
        <w:rPr>
          <w:rFonts w:ascii="Times New Roman" w:hAnsi="Times New Roman" w:cs="Times New Roman"/>
          <w:b/>
          <w:bCs/>
          <w:color w:val="000000"/>
          <w:sz w:val="24"/>
          <w:szCs w:val="24"/>
        </w:rPr>
        <w:t>Cerinţele de fonduri proprii pentru contribuţiile prefinanţate la fondul de garantare al unei CPC necalificate și pentru contribuţiile nefinanţate la fondul de garantare al unei CPC necalificate</w:t>
      </w:r>
    </w:p>
    <w:p w14:paraId="38146F27" w14:textId="2A2851C6" w:rsidR="00CF0F55" w:rsidRPr="00CF0F55" w:rsidRDefault="00CF0F55"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CF0F55">
        <w:rPr>
          <w:rFonts w:ascii="Times New Roman" w:hAnsi="Times New Roman" w:cs="Times New Roman"/>
          <w:b/>
          <w:bCs/>
          <w:color w:val="000000"/>
          <w:sz w:val="24"/>
          <w:szCs w:val="24"/>
        </w:rPr>
        <w:t>130.</w:t>
      </w:r>
      <w:r w:rsidRPr="00CF0F55">
        <w:rPr>
          <w:rFonts w:ascii="Times New Roman" w:hAnsi="Times New Roman" w:cs="Times New Roman"/>
          <w:color w:val="000000"/>
          <w:sz w:val="24"/>
          <w:szCs w:val="24"/>
        </w:rPr>
        <w:t xml:space="preserve"> O </w:t>
      </w:r>
      <w:r>
        <w:rPr>
          <w:rFonts w:ascii="Times New Roman" w:hAnsi="Times New Roman" w:cs="Times New Roman"/>
          <w:color w:val="000000"/>
          <w:sz w:val="24"/>
          <w:szCs w:val="24"/>
        </w:rPr>
        <w:t>bancă</w:t>
      </w:r>
      <w:r w:rsidRPr="00CF0F55">
        <w:rPr>
          <w:rFonts w:ascii="Times New Roman" w:hAnsi="Times New Roman" w:cs="Times New Roman"/>
          <w:color w:val="000000"/>
          <w:sz w:val="24"/>
          <w:szCs w:val="24"/>
        </w:rPr>
        <w:t xml:space="preserve"> aplică următoarea formulă pentru a calcula cerința de fonduri proprii pentru expunerile rezultate din contribuțiile sale prefinanțate la fondul de garantare al unei CPC necalificate și din contribuțiile nefinanțate la respectiva CPC:</w:t>
      </w:r>
    </w:p>
    <w:p w14:paraId="02F8FABF" w14:textId="77777777" w:rsidR="00CF0F55" w:rsidRPr="00CF0F55" w:rsidRDefault="00CF0F55" w:rsidP="00356C55">
      <w:pPr>
        <w:autoSpaceDE w:val="0"/>
        <w:autoSpaceDN w:val="0"/>
        <w:adjustRightInd w:val="0"/>
        <w:spacing w:before="200" w:after="200" w:line="240" w:lineRule="auto"/>
        <w:ind w:firstLine="567"/>
        <w:jc w:val="center"/>
        <w:rPr>
          <w:rFonts w:ascii="Times New Roman" w:hAnsi="Times New Roman" w:cs="Times New Roman"/>
          <w:color w:val="000000"/>
          <w:sz w:val="24"/>
          <w:szCs w:val="24"/>
        </w:rPr>
      </w:pPr>
      <w:r w:rsidRPr="00CF0F55">
        <w:rPr>
          <w:rFonts w:ascii="Times New Roman" w:hAnsi="Times New Roman" w:cs="Times New Roman"/>
          <w:color w:val="000000"/>
          <w:sz w:val="24"/>
          <w:szCs w:val="24"/>
        </w:rPr>
        <w:t>K = DF + UC</w:t>
      </w:r>
    </w:p>
    <w:p w14:paraId="24B8211E" w14:textId="77777777" w:rsidR="00CF0F55" w:rsidRPr="00CF0F55" w:rsidRDefault="00CF0F55"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CF0F55">
        <w:rPr>
          <w:rFonts w:ascii="Times New Roman" w:hAnsi="Times New Roman" w:cs="Times New Roman"/>
          <w:color w:val="000000"/>
          <w:sz w:val="24"/>
          <w:szCs w:val="24"/>
        </w:rPr>
        <w:t>unde:</w:t>
      </w:r>
    </w:p>
    <w:p w14:paraId="46DB4A6D" w14:textId="737C14B9" w:rsidR="00CF0F55" w:rsidRPr="00CF0F55" w:rsidRDefault="00CF0F55"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CF0F55">
        <w:rPr>
          <w:rFonts w:ascii="Times New Roman" w:hAnsi="Times New Roman" w:cs="Times New Roman"/>
          <w:color w:val="000000"/>
          <w:sz w:val="24"/>
          <w:szCs w:val="24"/>
        </w:rPr>
        <w:t>K</w:t>
      </w:r>
      <w:r w:rsidR="00356C55">
        <w:rPr>
          <w:rFonts w:ascii="Times New Roman" w:hAnsi="Times New Roman" w:cs="Times New Roman"/>
          <w:color w:val="000000"/>
          <w:sz w:val="24"/>
          <w:szCs w:val="24"/>
        </w:rPr>
        <w:t xml:space="preserve"> </w:t>
      </w:r>
      <w:r w:rsidRPr="00CF0F55">
        <w:rPr>
          <w:rFonts w:ascii="Times New Roman" w:hAnsi="Times New Roman" w:cs="Times New Roman"/>
          <w:color w:val="000000"/>
          <w:sz w:val="24"/>
          <w:szCs w:val="24"/>
        </w:rPr>
        <w:t>=</w:t>
      </w:r>
      <w:r w:rsidR="00356C55">
        <w:rPr>
          <w:rFonts w:ascii="Times New Roman" w:hAnsi="Times New Roman" w:cs="Times New Roman"/>
          <w:color w:val="000000"/>
          <w:sz w:val="24"/>
          <w:szCs w:val="24"/>
        </w:rPr>
        <w:t xml:space="preserve"> </w:t>
      </w:r>
      <w:r w:rsidRPr="00CF0F55">
        <w:rPr>
          <w:rFonts w:ascii="Times New Roman" w:hAnsi="Times New Roman" w:cs="Times New Roman"/>
          <w:color w:val="000000"/>
          <w:sz w:val="24"/>
          <w:szCs w:val="24"/>
        </w:rPr>
        <w:t>cerința de fonduri proprii;</w:t>
      </w:r>
    </w:p>
    <w:p w14:paraId="65C30FDC" w14:textId="65F256BE" w:rsidR="00CF0F55" w:rsidRPr="00CF0F55" w:rsidRDefault="00CF0F55"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CF0F55">
        <w:rPr>
          <w:rFonts w:ascii="Times New Roman" w:hAnsi="Times New Roman" w:cs="Times New Roman"/>
          <w:color w:val="000000"/>
          <w:sz w:val="24"/>
          <w:szCs w:val="24"/>
        </w:rPr>
        <w:t>DF</w:t>
      </w:r>
      <w:r w:rsidR="00356C55">
        <w:rPr>
          <w:rFonts w:ascii="Times New Roman" w:hAnsi="Times New Roman" w:cs="Times New Roman"/>
          <w:color w:val="000000"/>
          <w:sz w:val="24"/>
          <w:szCs w:val="24"/>
        </w:rPr>
        <w:t xml:space="preserve"> </w:t>
      </w:r>
      <w:r w:rsidRPr="00CF0F55">
        <w:rPr>
          <w:rFonts w:ascii="Times New Roman" w:hAnsi="Times New Roman" w:cs="Times New Roman"/>
          <w:color w:val="000000"/>
          <w:sz w:val="24"/>
          <w:szCs w:val="24"/>
        </w:rPr>
        <w:t>=</w:t>
      </w:r>
      <w:r w:rsidR="00356C55">
        <w:rPr>
          <w:rFonts w:ascii="Times New Roman" w:hAnsi="Times New Roman" w:cs="Times New Roman"/>
          <w:color w:val="000000"/>
          <w:sz w:val="24"/>
          <w:szCs w:val="24"/>
        </w:rPr>
        <w:t xml:space="preserve"> </w:t>
      </w:r>
      <w:r w:rsidRPr="00CF0F55">
        <w:rPr>
          <w:rFonts w:ascii="Times New Roman" w:hAnsi="Times New Roman" w:cs="Times New Roman"/>
          <w:color w:val="000000"/>
          <w:sz w:val="24"/>
          <w:szCs w:val="24"/>
        </w:rPr>
        <w:t>contribuțiile prefinanțate la fondul de garantare al unei CPC necalificate; și</w:t>
      </w:r>
    </w:p>
    <w:p w14:paraId="07446A14" w14:textId="58982FE1" w:rsidR="00CF0F55" w:rsidRPr="00CF0F55" w:rsidRDefault="00CF0F55"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CF0F55">
        <w:rPr>
          <w:rFonts w:ascii="Times New Roman" w:hAnsi="Times New Roman" w:cs="Times New Roman"/>
          <w:color w:val="000000"/>
          <w:sz w:val="24"/>
          <w:szCs w:val="24"/>
        </w:rPr>
        <w:t>UC</w:t>
      </w:r>
      <w:r w:rsidR="00356C55">
        <w:rPr>
          <w:rFonts w:ascii="Times New Roman" w:hAnsi="Times New Roman" w:cs="Times New Roman"/>
          <w:color w:val="000000"/>
          <w:sz w:val="24"/>
          <w:szCs w:val="24"/>
        </w:rPr>
        <w:t xml:space="preserve"> </w:t>
      </w:r>
      <w:r w:rsidRPr="00CF0F55">
        <w:rPr>
          <w:rFonts w:ascii="Times New Roman" w:hAnsi="Times New Roman" w:cs="Times New Roman"/>
          <w:color w:val="000000"/>
          <w:sz w:val="24"/>
          <w:szCs w:val="24"/>
        </w:rPr>
        <w:t>=</w:t>
      </w:r>
      <w:r w:rsidR="00356C55">
        <w:rPr>
          <w:rFonts w:ascii="Times New Roman" w:hAnsi="Times New Roman" w:cs="Times New Roman"/>
          <w:color w:val="000000"/>
          <w:sz w:val="24"/>
          <w:szCs w:val="24"/>
        </w:rPr>
        <w:t xml:space="preserve"> </w:t>
      </w:r>
      <w:r w:rsidRPr="00CF0F55">
        <w:rPr>
          <w:rFonts w:ascii="Times New Roman" w:hAnsi="Times New Roman" w:cs="Times New Roman"/>
          <w:color w:val="000000"/>
          <w:sz w:val="24"/>
          <w:szCs w:val="24"/>
        </w:rPr>
        <w:t>contribuțiile nefinanțate la fondul de garantare al unei CPC necalificate.</w:t>
      </w:r>
    </w:p>
    <w:p w14:paraId="091E039C" w14:textId="661583D9" w:rsidR="00B221C3" w:rsidRDefault="00356C55" w:rsidP="00CF0F55">
      <w:pPr>
        <w:autoSpaceDE w:val="0"/>
        <w:autoSpaceDN w:val="0"/>
        <w:adjustRightInd w:val="0"/>
        <w:spacing w:before="200" w:after="200" w:line="240" w:lineRule="auto"/>
        <w:ind w:firstLine="567"/>
        <w:jc w:val="both"/>
        <w:rPr>
          <w:rFonts w:ascii="Times New Roman" w:hAnsi="Times New Roman" w:cs="Times New Roman"/>
          <w:color w:val="000000"/>
          <w:sz w:val="24"/>
          <w:szCs w:val="24"/>
        </w:rPr>
      </w:pPr>
      <w:r w:rsidRPr="00356C55">
        <w:rPr>
          <w:rFonts w:ascii="Times New Roman" w:hAnsi="Times New Roman" w:cs="Times New Roman"/>
          <w:b/>
          <w:bCs/>
          <w:color w:val="000000"/>
          <w:sz w:val="24"/>
          <w:szCs w:val="24"/>
        </w:rPr>
        <w:t>131.</w:t>
      </w:r>
      <w:r>
        <w:rPr>
          <w:rFonts w:ascii="Times New Roman" w:hAnsi="Times New Roman" w:cs="Times New Roman"/>
          <w:color w:val="000000"/>
          <w:sz w:val="24"/>
          <w:szCs w:val="24"/>
        </w:rPr>
        <w:t xml:space="preserve"> </w:t>
      </w:r>
      <w:r w:rsidR="00CF0F55" w:rsidRPr="00CF0F55">
        <w:rPr>
          <w:rFonts w:ascii="Times New Roman" w:hAnsi="Times New Roman" w:cs="Times New Roman"/>
          <w:color w:val="000000"/>
          <w:sz w:val="24"/>
          <w:szCs w:val="24"/>
        </w:rPr>
        <w:t xml:space="preserve">O </w:t>
      </w:r>
      <w:r>
        <w:rPr>
          <w:rFonts w:ascii="Times New Roman" w:hAnsi="Times New Roman" w:cs="Times New Roman"/>
          <w:color w:val="000000"/>
          <w:sz w:val="24"/>
          <w:szCs w:val="24"/>
        </w:rPr>
        <w:t>bancă</w:t>
      </w:r>
      <w:r w:rsidR="00CF0F55" w:rsidRPr="00CF0F55">
        <w:rPr>
          <w:rFonts w:ascii="Times New Roman" w:hAnsi="Times New Roman" w:cs="Times New Roman"/>
          <w:color w:val="000000"/>
          <w:sz w:val="24"/>
          <w:szCs w:val="24"/>
        </w:rPr>
        <w:t xml:space="preserve"> calculează valorile ponderate la risc ale expunerilor pentru expunerile rezultate din contribuția </w:t>
      </w:r>
      <w:r>
        <w:rPr>
          <w:rFonts w:ascii="Times New Roman" w:hAnsi="Times New Roman" w:cs="Times New Roman"/>
          <w:color w:val="000000"/>
          <w:sz w:val="24"/>
          <w:szCs w:val="24"/>
        </w:rPr>
        <w:t>băncii</w:t>
      </w:r>
      <w:r w:rsidR="00CF0F55" w:rsidRPr="00CF0F55">
        <w:rPr>
          <w:rFonts w:ascii="Times New Roman" w:hAnsi="Times New Roman" w:cs="Times New Roman"/>
          <w:color w:val="000000"/>
          <w:sz w:val="24"/>
          <w:szCs w:val="24"/>
        </w:rPr>
        <w:t xml:space="preserve"> respective la fondul de garantare al unei CPC necalificate în sensul</w:t>
      </w:r>
      <w:r w:rsidR="00205EE9">
        <w:rPr>
          <w:rFonts w:ascii="Times New Roman" w:hAnsi="Times New Roman" w:cs="Times New Roman"/>
          <w:color w:val="000000"/>
          <w:sz w:val="24"/>
          <w:szCs w:val="24"/>
        </w:rPr>
        <w:t xml:space="preserve"> punctului 132 din </w:t>
      </w:r>
      <w:r w:rsidR="00205EE9" w:rsidRPr="00205EE9">
        <w:rPr>
          <w:rFonts w:ascii="Times New Roman" w:hAnsi="Times New Roman" w:cs="Times New Roman"/>
          <w:color w:val="000000"/>
          <w:sz w:val="24"/>
          <w:szCs w:val="24"/>
        </w:rPr>
        <w:t>Regulamentul</w:t>
      </w:r>
      <w:r w:rsidR="00205EE9">
        <w:rPr>
          <w:rFonts w:ascii="Times New Roman" w:hAnsi="Times New Roman" w:cs="Times New Roman"/>
          <w:color w:val="000000"/>
          <w:sz w:val="24"/>
          <w:szCs w:val="24"/>
        </w:rPr>
        <w:t xml:space="preserve"> nr.109/2018</w:t>
      </w:r>
      <w:r w:rsidR="00205EE9" w:rsidRPr="00205EE9">
        <w:rPr>
          <w:rFonts w:ascii="Times New Roman" w:hAnsi="Times New Roman" w:cs="Times New Roman"/>
          <w:color w:val="000000"/>
          <w:sz w:val="24"/>
          <w:szCs w:val="24"/>
        </w:rPr>
        <w:t xml:space="preserve"> cu privire la fondurile proprii ale băncilor şi cerinţele de capital</w:t>
      </w:r>
      <w:r w:rsidR="00CF0F55" w:rsidRPr="00CF0F55">
        <w:rPr>
          <w:rFonts w:ascii="Times New Roman" w:hAnsi="Times New Roman" w:cs="Times New Roman"/>
          <w:color w:val="000000"/>
          <w:sz w:val="24"/>
          <w:szCs w:val="24"/>
        </w:rPr>
        <w:t xml:space="preserve"> prin înmulțirea cu </w:t>
      </w:r>
      <w:r w:rsidR="00205EE9">
        <w:rPr>
          <w:rFonts w:ascii="Times New Roman" w:hAnsi="Times New Roman" w:cs="Times New Roman"/>
          <w:color w:val="000000"/>
          <w:sz w:val="24"/>
          <w:szCs w:val="24"/>
        </w:rPr>
        <w:t>10</w:t>
      </w:r>
      <w:r w:rsidR="00CF0F55" w:rsidRPr="00CF0F55">
        <w:rPr>
          <w:rFonts w:ascii="Times New Roman" w:hAnsi="Times New Roman" w:cs="Times New Roman"/>
          <w:color w:val="000000"/>
          <w:sz w:val="24"/>
          <w:szCs w:val="24"/>
        </w:rPr>
        <w:t xml:space="preserve"> a cerinței de fonduri proprii calculate în conformitate cu</w:t>
      </w:r>
      <w:r>
        <w:rPr>
          <w:rFonts w:ascii="Times New Roman" w:hAnsi="Times New Roman" w:cs="Times New Roman"/>
          <w:color w:val="000000"/>
          <w:sz w:val="24"/>
          <w:szCs w:val="24"/>
        </w:rPr>
        <w:t xml:space="preserve"> punctul 130</w:t>
      </w:r>
      <w:r w:rsidR="00B221C3" w:rsidRPr="00B221C3">
        <w:rPr>
          <w:rFonts w:ascii="Times New Roman" w:hAnsi="Times New Roman" w:cs="Times New Roman"/>
          <w:color w:val="000000"/>
          <w:sz w:val="24"/>
          <w:szCs w:val="24"/>
        </w:rPr>
        <w:t>.</w:t>
      </w:r>
    </w:p>
    <w:p w14:paraId="3953D950" w14:textId="7B71B6FB" w:rsidR="000215FA" w:rsidRDefault="000215FA" w:rsidP="000215FA">
      <w:pPr>
        <w:spacing w:after="0" w:line="240" w:lineRule="auto"/>
        <w:ind w:firstLine="567"/>
        <w:jc w:val="center"/>
        <w:rPr>
          <w:rFonts w:ascii="Times New Roman" w:eastAsia="Times New Roman" w:hAnsi="Times New Roman" w:cs="Times New Roman"/>
          <w:bCs/>
          <w:i/>
          <w:iCs/>
          <w:sz w:val="24"/>
          <w:szCs w:val="24"/>
          <w:lang w:val="ro-MD"/>
        </w:rPr>
      </w:pPr>
      <w:r w:rsidRPr="000A42E5">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10</w:t>
      </w:r>
      <w:r w:rsidRPr="000A42E5">
        <w:rPr>
          <w:rFonts w:ascii="Times New Roman" w:eastAsia="Times New Roman" w:hAnsi="Times New Roman" w:cs="Times New Roman"/>
          <w:bCs/>
          <w:i/>
          <w:iCs/>
          <w:sz w:val="24"/>
          <w:szCs w:val="24"/>
          <w:lang w:val="ro-MD"/>
        </w:rPr>
        <w:t>-a</w:t>
      </w:r>
    </w:p>
    <w:p w14:paraId="285EA321" w14:textId="6C044C8C" w:rsidR="000215FA" w:rsidRPr="0042700C" w:rsidRDefault="000215FA" w:rsidP="000215FA">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Cerinţele de fonduri proprii pentru contribuţiile nefinanţate la fondul de garantare al unei CPCC</w:t>
      </w:r>
    </w:p>
    <w:p w14:paraId="2D00625B" w14:textId="1237161F" w:rsidR="000215FA" w:rsidRPr="00B221C3" w:rsidRDefault="000215FA" w:rsidP="000215FA">
      <w:pPr>
        <w:spacing w:after="0" w:line="240" w:lineRule="auto"/>
        <w:ind w:firstLine="567"/>
        <w:jc w:val="both"/>
        <w:rPr>
          <w:rFonts w:ascii="Times New Roman" w:eastAsia="Times New Roman" w:hAnsi="Times New Roman" w:cs="Times New Roman"/>
          <w:bCs/>
          <w:sz w:val="24"/>
          <w:szCs w:val="24"/>
          <w:lang w:val="ro-MD"/>
        </w:rPr>
      </w:pPr>
      <w:r w:rsidRPr="000215FA">
        <w:rPr>
          <w:rFonts w:ascii="Times New Roman" w:eastAsia="Times New Roman" w:hAnsi="Times New Roman" w:cs="Times New Roman"/>
          <w:b/>
          <w:sz w:val="24"/>
          <w:szCs w:val="24"/>
          <w:lang w:val="ro-MD"/>
        </w:rPr>
        <w:t>132.</w:t>
      </w:r>
      <w:r>
        <w:rPr>
          <w:rFonts w:ascii="Times New Roman" w:eastAsia="Times New Roman" w:hAnsi="Times New Roman" w:cs="Times New Roman"/>
          <w:bCs/>
          <w:sz w:val="24"/>
          <w:szCs w:val="24"/>
          <w:lang w:val="ro-MD"/>
        </w:rPr>
        <w:t xml:space="preserve"> </w:t>
      </w:r>
      <w:r w:rsidRPr="000215FA">
        <w:rPr>
          <w:rFonts w:ascii="Times New Roman" w:eastAsia="Times New Roman" w:hAnsi="Times New Roman" w:cs="Times New Roman"/>
          <w:bCs/>
          <w:sz w:val="24"/>
          <w:szCs w:val="24"/>
          <w:lang w:val="ro-MD"/>
        </w:rPr>
        <w:t xml:space="preserve">O </w:t>
      </w:r>
      <w:r>
        <w:rPr>
          <w:rFonts w:ascii="Times New Roman" w:eastAsia="Times New Roman" w:hAnsi="Times New Roman" w:cs="Times New Roman"/>
          <w:bCs/>
          <w:sz w:val="24"/>
          <w:szCs w:val="24"/>
          <w:lang w:val="ro-MD"/>
        </w:rPr>
        <w:t>bancă</w:t>
      </w:r>
      <w:r w:rsidRPr="000215FA">
        <w:rPr>
          <w:rFonts w:ascii="Times New Roman" w:eastAsia="Times New Roman" w:hAnsi="Times New Roman" w:cs="Times New Roman"/>
          <w:bCs/>
          <w:sz w:val="24"/>
          <w:szCs w:val="24"/>
          <w:lang w:val="ro-MD"/>
        </w:rPr>
        <w:t xml:space="preserve"> aplică o pondere de risc de 0 % contribuţiilor sale nefinanţate la fondul de garantare al unei CPCC.</w:t>
      </w:r>
    </w:p>
    <w:p w14:paraId="11D62EDC" w14:textId="77777777" w:rsidR="00C603B0" w:rsidRDefault="00C603B0" w:rsidP="00C603B0">
      <w:pPr>
        <w:spacing w:after="0" w:line="240" w:lineRule="auto"/>
        <w:ind w:firstLine="567"/>
        <w:rPr>
          <w:rFonts w:ascii="Times New Roman" w:eastAsia="Times New Roman" w:hAnsi="Times New Roman" w:cs="Times New Roman"/>
          <w:b/>
          <w:sz w:val="24"/>
          <w:szCs w:val="24"/>
          <w:lang w:val="ro-MD"/>
        </w:rPr>
      </w:pPr>
    </w:p>
    <w:p w14:paraId="4E80946E" w14:textId="4A3F6F70" w:rsidR="000215FA" w:rsidRDefault="000215FA" w:rsidP="000215FA">
      <w:pPr>
        <w:spacing w:after="0" w:line="240" w:lineRule="auto"/>
        <w:ind w:firstLine="567"/>
        <w:jc w:val="center"/>
        <w:rPr>
          <w:rFonts w:ascii="Times New Roman" w:eastAsia="Times New Roman" w:hAnsi="Times New Roman" w:cs="Times New Roman"/>
          <w:bCs/>
          <w:i/>
          <w:iCs/>
          <w:sz w:val="24"/>
          <w:szCs w:val="24"/>
          <w:lang w:val="ro-MD"/>
        </w:rPr>
      </w:pPr>
      <w:r w:rsidRPr="000A42E5">
        <w:rPr>
          <w:rFonts w:ascii="Times New Roman" w:eastAsia="Times New Roman" w:hAnsi="Times New Roman" w:cs="Times New Roman"/>
          <w:bCs/>
          <w:i/>
          <w:iCs/>
          <w:sz w:val="24"/>
          <w:szCs w:val="24"/>
          <w:lang w:val="ro-MD"/>
        </w:rPr>
        <w:t xml:space="preserve">Secţiunea a </w:t>
      </w:r>
      <w:r>
        <w:rPr>
          <w:rFonts w:ascii="Times New Roman" w:eastAsia="Times New Roman" w:hAnsi="Times New Roman" w:cs="Times New Roman"/>
          <w:bCs/>
          <w:i/>
          <w:iCs/>
          <w:sz w:val="24"/>
          <w:szCs w:val="24"/>
          <w:lang w:val="ro-MD"/>
        </w:rPr>
        <w:t>11</w:t>
      </w:r>
      <w:r w:rsidRPr="000A42E5">
        <w:rPr>
          <w:rFonts w:ascii="Times New Roman" w:eastAsia="Times New Roman" w:hAnsi="Times New Roman" w:cs="Times New Roman"/>
          <w:bCs/>
          <w:i/>
          <w:iCs/>
          <w:sz w:val="24"/>
          <w:szCs w:val="24"/>
          <w:lang w:val="ro-MD"/>
        </w:rPr>
        <w:t>-a</w:t>
      </w:r>
    </w:p>
    <w:p w14:paraId="4FB46B0E" w14:textId="1B68DDBC" w:rsidR="000215FA" w:rsidRPr="0042700C" w:rsidRDefault="000215FA" w:rsidP="000215FA">
      <w:pPr>
        <w:spacing w:after="0" w:line="240" w:lineRule="auto"/>
        <w:ind w:firstLine="567"/>
        <w:jc w:val="center"/>
        <w:rPr>
          <w:rFonts w:ascii="Times New Roman" w:eastAsia="Times New Roman" w:hAnsi="Times New Roman" w:cs="Times New Roman"/>
          <w:b/>
          <w:sz w:val="24"/>
          <w:szCs w:val="24"/>
          <w:lang w:val="ro-MD"/>
        </w:rPr>
      </w:pPr>
      <w:r w:rsidRPr="0042700C">
        <w:rPr>
          <w:rFonts w:ascii="Times New Roman" w:eastAsia="Times New Roman" w:hAnsi="Times New Roman" w:cs="Times New Roman"/>
          <w:b/>
          <w:sz w:val="24"/>
          <w:szCs w:val="24"/>
          <w:lang w:val="ro-MD"/>
        </w:rPr>
        <w:t>Cerinţele de fonduri proprii pentru expunerile faţă de CPC-urile care încetează să îndeplinească anumite condiţii</w:t>
      </w:r>
    </w:p>
    <w:p w14:paraId="27D78B4F" w14:textId="4824E7BF" w:rsidR="000215FA" w:rsidRPr="000215FA" w:rsidRDefault="000215FA" w:rsidP="000215FA">
      <w:pPr>
        <w:spacing w:after="0" w:line="240" w:lineRule="auto"/>
        <w:ind w:firstLine="567"/>
        <w:jc w:val="both"/>
        <w:rPr>
          <w:rFonts w:ascii="Times New Roman" w:eastAsia="Times New Roman" w:hAnsi="Times New Roman" w:cs="Times New Roman"/>
          <w:bCs/>
          <w:sz w:val="24"/>
          <w:szCs w:val="24"/>
          <w:lang w:val="ro-MD"/>
        </w:rPr>
      </w:pPr>
      <w:r w:rsidRPr="000215FA">
        <w:rPr>
          <w:rFonts w:ascii="Times New Roman" w:eastAsia="Times New Roman" w:hAnsi="Times New Roman" w:cs="Times New Roman"/>
          <w:b/>
          <w:sz w:val="24"/>
          <w:szCs w:val="24"/>
          <w:lang w:val="ro-MD"/>
        </w:rPr>
        <w:t>133.</w:t>
      </w:r>
      <w:r w:rsidRPr="000215FA">
        <w:rPr>
          <w:rFonts w:ascii="Times New Roman" w:eastAsia="Times New Roman" w:hAnsi="Times New Roman" w:cs="Times New Roman"/>
          <w:bCs/>
          <w:sz w:val="24"/>
          <w:szCs w:val="24"/>
          <w:lang w:val="ro-MD"/>
        </w:rPr>
        <w:t xml:space="preserve"> Băncile aplică tratamentul prevăzut la prezent</w:t>
      </w:r>
      <w:r>
        <w:rPr>
          <w:rFonts w:ascii="Times New Roman" w:eastAsia="Times New Roman" w:hAnsi="Times New Roman" w:cs="Times New Roman"/>
          <w:bCs/>
          <w:sz w:val="24"/>
          <w:szCs w:val="24"/>
          <w:lang w:val="ro-MD"/>
        </w:rPr>
        <w:t xml:space="preserve">a secțiune </w:t>
      </w:r>
      <w:r w:rsidRPr="000215FA">
        <w:rPr>
          <w:rFonts w:ascii="Times New Roman" w:eastAsia="Times New Roman" w:hAnsi="Times New Roman" w:cs="Times New Roman"/>
          <w:bCs/>
          <w:sz w:val="24"/>
          <w:szCs w:val="24"/>
          <w:lang w:val="ro-MD"/>
        </w:rPr>
        <w:t xml:space="preserve">în cazul în care au luat cunoștinţă, în urma unui anunţ public sau a unei notificări din partea </w:t>
      </w:r>
      <w:r>
        <w:rPr>
          <w:rFonts w:ascii="Times New Roman" w:eastAsia="Times New Roman" w:hAnsi="Times New Roman" w:cs="Times New Roman"/>
          <w:bCs/>
          <w:sz w:val="24"/>
          <w:szCs w:val="24"/>
          <w:lang w:val="ro-MD"/>
        </w:rPr>
        <w:t>Băncii Naționale a Moldovei</w:t>
      </w:r>
      <w:r w:rsidRPr="000215FA">
        <w:rPr>
          <w:rFonts w:ascii="Times New Roman" w:eastAsia="Times New Roman" w:hAnsi="Times New Roman" w:cs="Times New Roman"/>
          <w:bCs/>
          <w:sz w:val="24"/>
          <w:szCs w:val="24"/>
          <w:lang w:val="ro-MD"/>
        </w:rPr>
        <w:t xml:space="preserve"> a unei CPC utilizate de </w:t>
      </w:r>
      <w:r>
        <w:rPr>
          <w:rFonts w:ascii="Times New Roman" w:eastAsia="Times New Roman" w:hAnsi="Times New Roman" w:cs="Times New Roman"/>
          <w:bCs/>
          <w:sz w:val="24"/>
          <w:szCs w:val="24"/>
          <w:lang w:val="ro-MD"/>
        </w:rPr>
        <w:t>băncile</w:t>
      </w:r>
      <w:r w:rsidRPr="000215FA">
        <w:rPr>
          <w:rFonts w:ascii="Times New Roman" w:eastAsia="Times New Roman" w:hAnsi="Times New Roman" w:cs="Times New Roman"/>
          <w:bCs/>
          <w:sz w:val="24"/>
          <w:szCs w:val="24"/>
          <w:lang w:val="ro-MD"/>
        </w:rPr>
        <w:t xml:space="preserve"> respective sau din partea respectivei CPC, de faptul că respectiva CPC nu va mai îndeplini condiţiile privind autorizarea sau recunoașterea, după caz.</w:t>
      </w:r>
    </w:p>
    <w:p w14:paraId="1308176A" w14:textId="7089CF8A" w:rsidR="000215FA" w:rsidRPr="000215FA" w:rsidRDefault="000215FA" w:rsidP="000215FA">
      <w:pPr>
        <w:spacing w:after="0" w:line="240" w:lineRule="auto"/>
        <w:ind w:firstLine="567"/>
        <w:jc w:val="both"/>
        <w:rPr>
          <w:rFonts w:ascii="Times New Roman" w:eastAsia="Times New Roman" w:hAnsi="Times New Roman" w:cs="Times New Roman"/>
          <w:bCs/>
          <w:sz w:val="24"/>
          <w:szCs w:val="24"/>
          <w:lang w:val="ro-MD"/>
        </w:rPr>
      </w:pPr>
      <w:r w:rsidRPr="000215FA">
        <w:rPr>
          <w:rFonts w:ascii="Times New Roman" w:eastAsia="Times New Roman" w:hAnsi="Times New Roman" w:cs="Times New Roman"/>
          <w:b/>
          <w:sz w:val="24"/>
          <w:szCs w:val="24"/>
          <w:lang w:val="ro-MD"/>
        </w:rPr>
        <w:t>134.</w:t>
      </w:r>
      <w:r w:rsidRPr="000215FA">
        <w:rPr>
          <w:rFonts w:ascii="Times New Roman" w:eastAsia="Times New Roman" w:hAnsi="Times New Roman" w:cs="Times New Roman"/>
          <w:bCs/>
          <w:sz w:val="24"/>
          <w:szCs w:val="24"/>
          <w:lang w:val="ro-MD"/>
        </w:rPr>
        <w:t xml:space="preserve"> În cazul în care condiţia prevăzută la </w:t>
      </w:r>
      <w:r>
        <w:rPr>
          <w:rFonts w:ascii="Times New Roman" w:eastAsia="Times New Roman" w:hAnsi="Times New Roman" w:cs="Times New Roman"/>
          <w:bCs/>
          <w:sz w:val="24"/>
          <w:szCs w:val="24"/>
          <w:lang w:val="ro-MD"/>
        </w:rPr>
        <w:t>punctul 133</w:t>
      </w:r>
      <w:r w:rsidRPr="000215FA">
        <w:rPr>
          <w:rFonts w:ascii="Times New Roman" w:eastAsia="Times New Roman" w:hAnsi="Times New Roman" w:cs="Times New Roman"/>
          <w:bCs/>
          <w:sz w:val="24"/>
          <w:szCs w:val="24"/>
          <w:lang w:val="ro-MD"/>
        </w:rPr>
        <w:t xml:space="preserve"> este îndeplinită, </w:t>
      </w:r>
      <w:r>
        <w:rPr>
          <w:rFonts w:ascii="Times New Roman" w:eastAsia="Times New Roman" w:hAnsi="Times New Roman" w:cs="Times New Roman"/>
          <w:bCs/>
          <w:sz w:val="24"/>
          <w:szCs w:val="24"/>
          <w:lang w:val="ro-MD"/>
        </w:rPr>
        <w:t>băncile</w:t>
      </w:r>
      <w:r w:rsidRPr="000215FA">
        <w:rPr>
          <w:rFonts w:ascii="Times New Roman" w:eastAsia="Times New Roman" w:hAnsi="Times New Roman" w:cs="Times New Roman"/>
          <w:bCs/>
          <w:sz w:val="24"/>
          <w:szCs w:val="24"/>
          <w:lang w:val="ro-MD"/>
        </w:rPr>
        <w:t xml:space="preserve">, în termen de trei luni din momentul în care iau cunoștinţă despre situaţia menţionată la </w:t>
      </w:r>
      <w:r>
        <w:rPr>
          <w:rFonts w:ascii="Times New Roman" w:eastAsia="Times New Roman" w:hAnsi="Times New Roman" w:cs="Times New Roman"/>
          <w:bCs/>
          <w:sz w:val="24"/>
          <w:szCs w:val="24"/>
          <w:lang w:val="ro-MD"/>
        </w:rPr>
        <w:t xml:space="preserve">punctul </w:t>
      </w:r>
      <w:r w:rsidRPr="000215FA">
        <w:rPr>
          <w:rFonts w:ascii="Times New Roman" w:eastAsia="Times New Roman" w:hAnsi="Times New Roman" w:cs="Times New Roman"/>
          <w:bCs/>
          <w:sz w:val="24"/>
          <w:szCs w:val="24"/>
          <w:lang w:val="ro-MD"/>
        </w:rPr>
        <w:t>respectiv sau mai devreme</w:t>
      </w:r>
      <w:r w:rsidR="00597D47">
        <w:rPr>
          <w:rFonts w:ascii="Times New Roman" w:eastAsia="Times New Roman" w:hAnsi="Times New Roman" w:cs="Times New Roman"/>
          <w:bCs/>
          <w:sz w:val="24"/>
          <w:szCs w:val="24"/>
          <w:lang w:val="ro-MD"/>
        </w:rPr>
        <w:t>,</w:t>
      </w:r>
      <w:r w:rsidRPr="000215FA">
        <w:rPr>
          <w:rFonts w:ascii="Times New Roman" w:eastAsia="Times New Roman" w:hAnsi="Times New Roman" w:cs="Times New Roman"/>
          <w:bCs/>
          <w:sz w:val="24"/>
          <w:szCs w:val="24"/>
          <w:lang w:val="ro-MD"/>
        </w:rPr>
        <w:t xml:space="preserve"> dacă </w:t>
      </w:r>
      <w:r>
        <w:rPr>
          <w:rFonts w:ascii="Times New Roman" w:eastAsia="Times New Roman" w:hAnsi="Times New Roman" w:cs="Times New Roman"/>
          <w:bCs/>
          <w:sz w:val="24"/>
          <w:szCs w:val="24"/>
          <w:lang w:val="ro-MD"/>
        </w:rPr>
        <w:t xml:space="preserve">Banca Națională a Moldovei </w:t>
      </w:r>
      <w:r w:rsidRPr="000215FA">
        <w:rPr>
          <w:rFonts w:ascii="Times New Roman" w:eastAsia="Times New Roman" w:hAnsi="Times New Roman" w:cs="Times New Roman"/>
          <w:bCs/>
          <w:sz w:val="24"/>
          <w:szCs w:val="24"/>
          <w:lang w:val="ro-MD"/>
        </w:rPr>
        <w:t>impun</w:t>
      </w:r>
      <w:r>
        <w:rPr>
          <w:rFonts w:ascii="Times New Roman" w:eastAsia="Times New Roman" w:hAnsi="Times New Roman" w:cs="Times New Roman"/>
          <w:bCs/>
          <w:sz w:val="24"/>
          <w:szCs w:val="24"/>
          <w:lang w:val="ro-MD"/>
        </w:rPr>
        <w:t>e</w:t>
      </w:r>
      <w:r w:rsidRPr="000215FA">
        <w:rPr>
          <w:rFonts w:ascii="Times New Roman" w:eastAsia="Times New Roman" w:hAnsi="Times New Roman" w:cs="Times New Roman"/>
          <w:bCs/>
          <w:sz w:val="24"/>
          <w:szCs w:val="24"/>
          <w:lang w:val="ro-MD"/>
        </w:rPr>
        <w:t xml:space="preserve"> acest lucru, procedează după cum urmează în ceea ce privește expunerile lor la respectiva CPC:</w:t>
      </w:r>
    </w:p>
    <w:p w14:paraId="3876FC73" w14:textId="6213E2FF" w:rsidR="000215FA" w:rsidRPr="000215FA" w:rsidRDefault="000215FA" w:rsidP="000215FA">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1</w:t>
      </w:r>
      <w:r w:rsidRPr="000215FA">
        <w:rPr>
          <w:rFonts w:ascii="Times New Roman" w:eastAsia="Times New Roman" w:hAnsi="Times New Roman" w:cs="Times New Roman"/>
          <w:bCs/>
          <w:sz w:val="24"/>
          <w:szCs w:val="24"/>
          <w:lang w:val="ro-MD"/>
        </w:rPr>
        <w:t xml:space="preserve">) aplică tratamentul prevăzut la </w:t>
      </w:r>
      <w:r w:rsidR="00C77788">
        <w:rPr>
          <w:rFonts w:ascii="Times New Roman" w:eastAsia="Times New Roman" w:hAnsi="Times New Roman" w:cs="Times New Roman"/>
          <w:bCs/>
          <w:sz w:val="24"/>
          <w:szCs w:val="24"/>
          <w:lang w:val="ro-MD"/>
        </w:rPr>
        <w:t xml:space="preserve">punctul 122 subpunctul 2) </w:t>
      </w:r>
      <w:r w:rsidRPr="000215FA">
        <w:rPr>
          <w:rFonts w:ascii="Times New Roman" w:eastAsia="Times New Roman" w:hAnsi="Times New Roman" w:cs="Times New Roman"/>
          <w:bCs/>
          <w:sz w:val="24"/>
          <w:szCs w:val="24"/>
          <w:lang w:val="ro-MD"/>
        </w:rPr>
        <w:t>expunerilor lor din tranzacţii la respectiva CPC;</w:t>
      </w:r>
    </w:p>
    <w:p w14:paraId="47BF916F" w14:textId="253EAD71" w:rsidR="000215FA" w:rsidRPr="000215FA" w:rsidRDefault="000215FA" w:rsidP="000215FA">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2</w:t>
      </w:r>
      <w:r w:rsidRPr="000215FA">
        <w:rPr>
          <w:rFonts w:ascii="Times New Roman" w:eastAsia="Times New Roman" w:hAnsi="Times New Roman" w:cs="Times New Roman"/>
          <w:bCs/>
          <w:sz w:val="24"/>
          <w:szCs w:val="24"/>
          <w:lang w:val="ro-MD"/>
        </w:rPr>
        <w:t xml:space="preserve">) aplică tratamentul prevăzut la </w:t>
      </w:r>
      <w:r w:rsidR="00C77788">
        <w:rPr>
          <w:rFonts w:ascii="Times New Roman" w:eastAsia="Times New Roman" w:hAnsi="Times New Roman" w:cs="Times New Roman"/>
          <w:bCs/>
          <w:sz w:val="24"/>
          <w:szCs w:val="24"/>
          <w:lang w:val="ro-MD"/>
        </w:rPr>
        <w:t>s</w:t>
      </w:r>
      <w:r w:rsidR="00C77788" w:rsidRPr="00C77788">
        <w:rPr>
          <w:rFonts w:ascii="Times New Roman" w:eastAsia="Times New Roman" w:hAnsi="Times New Roman" w:cs="Times New Roman"/>
          <w:bCs/>
          <w:sz w:val="24"/>
          <w:szCs w:val="24"/>
          <w:lang w:val="ro-MD"/>
        </w:rPr>
        <w:t>ecţiunea a 9-a</w:t>
      </w:r>
      <w:r w:rsidRPr="000215FA">
        <w:rPr>
          <w:rFonts w:ascii="Times New Roman" w:eastAsia="Times New Roman" w:hAnsi="Times New Roman" w:cs="Times New Roman"/>
          <w:bCs/>
          <w:sz w:val="24"/>
          <w:szCs w:val="24"/>
          <w:lang w:val="ro-MD"/>
        </w:rPr>
        <w:t xml:space="preserve"> contribuţiilor lor prefinanţate la fondul de garantare al respectivei CPC și contribuţiilor lor nefinanţate la respectiva CPC;</w:t>
      </w:r>
    </w:p>
    <w:p w14:paraId="1716F903" w14:textId="6F4BDAEA" w:rsidR="007628F4" w:rsidRPr="007628F4" w:rsidRDefault="000215FA" w:rsidP="007628F4">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lastRenderedPageBreak/>
        <w:t>3</w:t>
      </w:r>
      <w:r w:rsidRPr="000215FA">
        <w:rPr>
          <w:rFonts w:ascii="Times New Roman" w:eastAsia="Times New Roman" w:hAnsi="Times New Roman" w:cs="Times New Roman"/>
          <w:bCs/>
          <w:sz w:val="24"/>
          <w:szCs w:val="24"/>
          <w:lang w:val="ro-MD"/>
        </w:rPr>
        <w:t xml:space="preserve">) tratează expunerile lor faţă de respectiva CPC, altele decât expunerile enumerate la </w:t>
      </w:r>
      <w:r>
        <w:rPr>
          <w:rFonts w:ascii="Times New Roman" w:eastAsia="Times New Roman" w:hAnsi="Times New Roman" w:cs="Times New Roman"/>
          <w:bCs/>
          <w:sz w:val="24"/>
          <w:szCs w:val="24"/>
          <w:lang w:val="ro-MD"/>
        </w:rPr>
        <w:t>subpunctele 1) și 2)</w:t>
      </w:r>
      <w:r w:rsidRPr="000215FA">
        <w:rPr>
          <w:rFonts w:ascii="Times New Roman" w:eastAsia="Times New Roman" w:hAnsi="Times New Roman" w:cs="Times New Roman"/>
          <w:bCs/>
          <w:sz w:val="24"/>
          <w:szCs w:val="24"/>
          <w:lang w:val="ro-MD"/>
        </w:rPr>
        <w:t xml:space="preserve"> de la prezentul </w:t>
      </w:r>
      <w:r>
        <w:rPr>
          <w:rFonts w:ascii="Times New Roman" w:eastAsia="Times New Roman" w:hAnsi="Times New Roman" w:cs="Times New Roman"/>
          <w:bCs/>
          <w:sz w:val="24"/>
          <w:szCs w:val="24"/>
          <w:lang w:val="ro-MD"/>
        </w:rPr>
        <w:t>punct</w:t>
      </w:r>
      <w:r w:rsidRPr="000215FA">
        <w:rPr>
          <w:rFonts w:ascii="Times New Roman" w:eastAsia="Times New Roman" w:hAnsi="Times New Roman" w:cs="Times New Roman"/>
          <w:bCs/>
          <w:sz w:val="24"/>
          <w:szCs w:val="24"/>
          <w:lang w:val="ro-MD"/>
        </w:rPr>
        <w:t xml:space="preserve">, ca fiind expuneri la o societate, în conformitate cu abordarea standardizată pentru riscul de </w:t>
      </w:r>
      <w:r w:rsidRPr="007628F4">
        <w:rPr>
          <w:rFonts w:ascii="Times New Roman" w:eastAsia="Times New Roman" w:hAnsi="Times New Roman" w:cs="Times New Roman"/>
          <w:bCs/>
          <w:sz w:val="24"/>
          <w:szCs w:val="24"/>
          <w:lang w:val="ro-MD"/>
        </w:rPr>
        <w:t xml:space="preserve">credit prevăzută în </w:t>
      </w:r>
      <w:r w:rsidR="007628F4" w:rsidRPr="007628F4">
        <w:rPr>
          <w:rFonts w:ascii="Times New Roman" w:eastAsia="Times New Roman" w:hAnsi="Times New Roman" w:cs="Times New Roman"/>
          <w:bCs/>
          <w:sz w:val="24"/>
          <w:szCs w:val="24"/>
          <w:lang w:val="ro-MD"/>
        </w:rPr>
        <w:t>Regulamentul</w:t>
      </w:r>
      <w:r w:rsidR="007628F4">
        <w:rPr>
          <w:rFonts w:ascii="Times New Roman" w:eastAsia="Times New Roman" w:hAnsi="Times New Roman" w:cs="Times New Roman"/>
          <w:bCs/>
          <w:sz w:val="24"/>
          <w:szCs w:val="24"/>
          <w:lang w:val="ro-MD"/>
        </w:rPr>
        <w:t xml:space="preserve"> nr.111/2018</w:t>
      </w:r>
      <w:r w:rsidR="007628F4" w:rsidRPr="007628F4">
        <w:rPr>
          <w:rFonts w:ascii="Times New Roman" w:eastAsia="Times New Roman" w:hAnsi="Times New Roman" w:cs="Times New Roman"/>
          <w:bCs/>
          <w:sz w:val="24"/>
          <w:szCs w:val="24"/>
          <w:lang w:val="ro-MD"/>
        </w:rPr>
        <w:t xml:space="preserve"> cu privire la tratamentul riscului de credit pentru bănci potrivit abordării standardizate</w:t>
      </w:r>
      <w:r w:rsidR="007628F4">
        <w:rPr>
          <w:rFonts w:ascii="Times New Roman" w:eastAsia="Times New Roman" w:hAnsi="Times New Roman" w:cs="Times New Roman"/>
          <w:bCs/>
          <w:sz w:val="24"/>
          <w:szCs w:val="24"/>
          <w:lang w:val="ro-MD"/>
        </w:rPr>
        <w:t>.</w:t>
      </w:r>
    </w:p>
    <w:p w14:paraId="675BB0D8" w14:textId="77777777" w:rsidR="007628F4" w:rsidRPr="007628F4" w:rsidRDefault="007628F4" w:rsidP="007628F4">
      <w:pPr>
        <w:spacing w:after="0" w:line="240" w:lineRule="auto"/>
        <w:ind w:firstLine="567"/>
        <w:jc w:val="both"/>
        <w:rPr>
          <w:rFonts w:ascii="Times New Roman" w:eastAsia="Times New Roman" w:hAnsi="Times New Roman" w:cs="Times New Roman"/>
          <w:bCs/>
          <w:sz w:val="24"/>
          <w:szCs w:val="24"/>
          <w:lang w:val="ro-MD"/>
        </w:rPr>
      </w:pPr>
      <w:r w:rsidRPr="007628F4">
        <w:rPr>
          <w:rFonts w:ascii="Times New Roman" w:eastAsia="Times New Roman" w:hAnsi="Times New Roman" w:cs="Times New Roman"/>
          <w:bCs/>
          <w:sz w:val="24"/>
          <w:szCs w:val="24"/>
          <w:lang w:val="ro-MD"/>
        </w:rPr>
        <w:t xml:space="preserve"> </w:t>
      </w:r>
    </w:p>
    <w:p w14:paraId="43C3EDA4" w14:textId="77777777" w:rsidR="000215FA" w:rsidRPr="00C603B0" w:rsidRDefault="000215FA" w:rsidP="00C603B0">
      <w:pPr>
        <w:spacing w:after="0" w:line="240" w:lineRule="auto"/>
        <w:ind w:firstLine="567"/>
        <w:rPr>
          <w:rFonts w:ascii="Times New Roman" w:eastAsia="Times New Roman" w:hAnsi="Times New Roman" w:cs="Times New Roman"/>
          <w:b/>
          <w:sz w:val="24"/>
          <w:szCs w:val="24"/>
          <w:lang w:val="ro-MD"/>
        </w:rPr>
      </w:pPr>
    </w:p>
    <w:p w14:paraId="655CC749" w14:textId="77777777" w:rsidR="00376FB0" w:rsidRDefault="00376FB0" w:rsidP="004A4E82">
      <w:pPr>
        <w:spacing w:after="0" w:line="240" w:lineRule="auto"/>
        <w:ind w:firstLine="567"/>
        <w:jc w:val="both"/>
        <w:rPr>
          <w:rFonts w:ascii="Times New Roman" w:eastAsia="Times New Roman" w:hAnsi="Times New Roman" w:cs="Times New Roman"/>
          <w:sz w:val="24"/>
          <w:szCs w:val="24"/>
          <w:lang w:val="ro-MD"/>
        </w:rPr>
      </w:pPr>
    </w:p>
    <w:p w14:paraId="71C3B79A"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2A5BE874"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25EE0B08"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3BF55F64"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337F041F"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35877113"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1519DB39" w14:textId="77777777" w:rsidR="000215FA" w:rsidRDefault="000215FA" w:rsidP="004A4E82">
      <w:pPr>
        <w:spacing w:after="0" w:line="240" w:lineRule="auto"/>
        <w:ind w:firstLine="567"/>
        <w:jc w:val="both"/>
        <w:rPr>
          <w:rFonts w:ascii="Times New Roman" w:eastAsia="Times New Roman" w:hAnsi="Times New Roman" w:cs="Times New Roman"/>
          <w:sz w:val="24"/>
          <w:szCs w:val="24"/>
          <w:lang w:val="ro-MD"/>
        </w:rPr>
      </w:pPr>
    </w:p>
    <w:p w14:paraId="0C60CF5A" w14:textId="77777777" w:rsidR="00376FB0" w:rsidRDefault="00376FB0" w:rsidP="004A4E82">
      <w:pPr>
        <w:spacing w:after="0" w:line="240" w:lineRule="auto"/>
        <w:ind w:firstLine="567"/>
        <w:jc w:val="both"/>
        <w:rPr>
          <w:rFonts w:ascii="Times New Roman" w:eastAsia="Times New Roman" w:hAnsi="Times New Roman" w:cs="Times New Roman"/>
          <w:sz w:val="24"/>
          <w:szCs w:val="24"/>
          <w:lang w:val="ro-MD"/>
        </w:rPr>
      </w:pPr>
    </w:p>
    <w:p w14:paraId="7783EC8D" w14:textId="77777777" w:rsidR="00376FB0" w:rsidRDefault="00376FB0" w:rsidP="004A4E82">
      <w:pPr>
        <w:spacing w:after="0" w:line="240" w:lineRule="auto"/>
        <w:ind w:firstLine="567"/>
        <w:jc w:val="both"/>
        <w:rPr>
          <w:rFonts w:ascii="Times New Roman" w:eastAsia="Times New Roman" w:hAnsi="Times New Roman" w:cs="Times New Roman"/>
          <w:sz w:val="24"/>
          <w:szCs w:val="24"/>
          <w:lang w:val="ro-MD"/>
        </w:rPr>
      </w:pPr>
    </w:p>
    <w:p w14:paraId="5681789F" w14:textId="77777777" w:rsidR="00376FB0" w:rsidRDefault="00376FB0" w:rsidP="004A4E82">
      <w:pPr>
        <w:spacing w:after="0" w:line="240" w:lineRule="auto"/>
        <w:ind w:firstLine="567"/>
        <w:jc w:val="both"/>
        <w:rPr>
          <w:rFonts w:ascii="Times New Roman" w:eastAsia="Times New Roman" w:hAnsi="Times New Roman" w:cs="Times New Roman"/>
          <w:sz w:val="24"/>
          <w:szCs w:val="24"/>
          <w:lang w:val="ro-MD"/>
        </w:rPr>
      </w:pPr>
    </w:p>
    <w:p w14:paraId="72A613A4" w14:textId="77777777" w:rsidR="00376FB0" w:rsidRDefault="00376FB0" w:rsidP="004A4E82">
      <w:pPr>
        <w:spacing w:after="0" w:line="240" w:lineRule="auto"/>
        <w:ind w:firstLine="567"/>
        <w:jc w:val="both"/>
        <w:rPr>
          <w:rFonts w:ascii="Times New Roman" w:eastAsia="Times New Roman" w:hAnsi="Times New Roman" w:cs="Times New Roman"/>
          <w:sz w:val="24"/>
          <w:szCs w:val="24"/>
          <w:lang w:val="ro-MD"/>
        </w:rPr>
      </w:pPr>
    </w:p>
    <w:p w14:paraId="24946371" w14:textId="77777777" w:rsidR="00A718BE" w:rsidRPr="00A718BE" w:rsidRDefault="00A718BE" w:rsidP="004A4E82">
      <w:pPr>
        <w:spacing w:after="0" w:line="240" w:lineRule="auto"/>
        <w:ind w:firstLine="567"/>
        <w:jc w:val="both"/>
        <w:rPr>
          <w:rFonts w:ascii="Times New Roman" w:eastAsia="Times New Roman" w:hAnsi="Times New Roman" w:cs="Times New Roman"/>
          <w:sz w:val="24"/>
          <w:szCs w:val="24"/>
          <w:lang w:val="ro-MD"/>
        </w:rPr>
      </w:pPr>
      <w:r w:rsidRPr="00A718BE">
        <w:rPr>
          <w:rFonts w:ascii="Times New Roman" w:eastAsia="Times New Roman" w:hAnsi="Times New Roman" w:cs="Times New Roman"/>
          <w:sz w:val="24"/>
          <w:szCs w:val="24"/>
          <w:lang w:val="ro-MD"/>
        </w:rPr>
        <w:t> </w:t>
      </w:r>
    </w:p>
    <w:p w14:paraId="6BB7AE0E" w14:textId="77777777" w:rsidR="00493520" w:rsidRPr="00A718BE" w:rsidRDefault="00493520">
      <w:pPr>
        <w:rPr>
          <w:rFonts w:ascii="Times New Roman" w:hAnsi="Times New Roman" w:cs="Times New Roman"/>
          <w:sz w:val="24"/>
          <w:szCs w:val="24"/>
          <w:lang w:val="ro-MD"/>
        </w:rPr>
      </w:pPr>
    </w:p>
    <w:sectPr w:rsidR="00493520" w:rsidRPr="00A718BE" w:rsidSect="00665D4D">
      <w:footerReference w:type="even" r:id="rId79"/>
      <w:footerReference w:type="default" r:id="rId80"/>
      <w:pgSz w:w="12240" w:h="15840"/>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BE17" w14:textId="77777777" w:rsidR="0048044B" w:rsidRDefault="0048044B" w:rsidP="001066E6">
      <w:pPr>
        <w:spacing w:after="0" w:line="240" w:lineRule="auto"/>
      </w:pPr>
      <w:r>
        <w:separator/>
      </w:r>
    </w:p>
  </w:endnote>
  <w:endnote w:type="continuationSeparator" w:id="0">
    <w:p w14:paraId="1F3DF47B" w14:textId="77777777" w:rsidR="0048044B" w:rsidRDefault="0048044B" w:rsidP="0010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CLLGD+TeX_CM_Maths_Extensio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79691"/>
      <w:docPartObj>
        <w:docPartGallery w:val="Page Numbers (Bottom of Page)"/>
        <w:docPartUnique/>
      </w:docPartObj>
    </w:sdtPr>
    <w:sdtEndPr>
      <w:rPr>
        <w:noProof/>
      </w:rPr>
    </w:sdtEndPr>
    <w:sdtContent>
      <w:p w14:paraId="18D122A7" w14:textId="77777777" w:rsidR="003F3E07" w:rsidRDefault="003F3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B144C" w14:textId="77777777" w:rsidR="003F3E07" w:rsidRDefault="003F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16807"/>
      <w:docPartObj>
        <w:docPartGallery w:val="Page Numbers (Bottom of Page)"/>
        <w:docPartUnique/>
      </w:docPartObj>
    </w:sdtPr>
    <w:sdtEndPr>
      <w:rPr>
        <w:rFonts w:ascii="Times New Roman" w:hAnsi="Times New Roman" w:cs="Times New Roman"/>
        <w:noProof/>
      </w:rPr>
    </w:sdtEndPr>
    <w:sdtContent>
      <w:p w14:paraId="5CAE82B4" w14:textId="7BC6BFD4" w:rsidR="003F3E07" w:rsidRPr="003F3E07" w:rsidRDefault="003F3E07">
        <w:pPr>
          <w:pStyle w:val="Footer"/>
          <w:jc w:val="right"/>
          <w:rPr>
            <w:rFonts w:ascii="Times New Roman" w:hAnsi="Times New Roman" w:cs="Times New Roman"/>
          </w:rPr>
        </w:pPr>
        <w:r w:rsidRPr="003F3E07">
          <w:rPr>
            <w:rFonts w:ascii="Times New Roman" w:hAnsi="Times New Roman" w:cs="Times New Roman"/>
          </w:rPr>
          <w:fldChar w:fldCharType="begin"/>
        </w:r>
        <w:r w:rsidRPr="003F3E07">
          <w:rPr>
            <w:rFonts w:ascii="Times New Roman" w:hAnsi="Times New Roman" w:cs="Times New Roman"/>
          </w:rPr>
          <w:instrText xml:space="preserve"> PAGE   \* MERGEFORMAT </w:instrText>
        </w:r>
        <w:r w:rsidRPr="003F3E07">
          <w:rPr>
            <w:rFonts w:ascii="Times New Roman" w:hAnsi="Times New Roman" w:cs="Times New Roman"/>
          </w:rPr>
          <w:fldChar w:fldCharType="separate"/>
        </w:r>
        <w:r w:rsidR="00B671A7">
          <w:rPr>
            <w:rFonts w:ascii="Times New Roman" w:hAnsi="Times New Roman" w:cs="Times New Roman"/>
            <w:noProof/>
          </w:rPr>
          <w:t>20</w:t>
        </w:r>
        <w:r w:rsidRPr="003F3E07">
          <w:rPr>
            <w:rFonts w:ascii="Times New Roman" w:hAnsi="Times New Roman" w:cs="Times New Roman"/>
            <w:noProof/>
          </w:rPr>
          <w:fldChar w:fldCharType="end"/>
        </w:r>
      </w:p>
    </w:sdtContent>
  </w:sdt>
  <w:p w14:paraId="2DD928BB" w14:textId="77777777" w:rsidR="003F3E07" w:rsidRDefault="003F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534F" w14:textId="77777777" w:rsidR="0048044B" w:rsidRDefault="0048044B" w:rsidP="001066E6">
      <w:pPr>
        <w:spacing w:after="0" w:line="240" w:lineRule="auto"/>
      </w:pPr>
      <w:r>
        <w:separator/>
      </w:r>
    </w:p>
  </w:footnote>
  <w:footnote w:type="continuationSeparator" w:id="0">
    <w:p w14:paraId="477DC871" w14:textId="77777777" w:rsidR="0048044B" w:rsidRDefault="0048044B" w:rsidP="0010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BE"/>
    <w:rsid w:val="00006C2B"/>
    <w:rsid w:val="00010293"/>
    <w:rsid w:val="00020CD2"/>
    <w:rsid w:val="00020F55"/>
    <w:rsid w:val="000215FA"/>
    <w:rsid w:val="00024375"/>
    <w:rsid w:val="00025B35"/>
    <w:rsid w:val="000306EC"/>
    <w:rsid w:val="00040EB4"/>
    <w:rsid w:val="00041306"/>
    <w:rsid w:val="0004393E"/>
    <w:rsid w:val="00052396"/>
    <w:rsid w:val="000642F1"/>
    <w:rsid w:val="00065F05"/>
    <w:rsid w:val="000714AD"/>
    <w:rsid w:val="00073409"/>
    <w:rsid w:val="00082CBD"/>
    <w:rsid w:val="000905EF"/>
    <w:rsid w:val="00095538"/>
    <w:rsid w:val="000A42E5"/>
    <w:rsid w:val="000B2B5C"/>
    <w:rsid w:val="000C1BED"/>
    <w:rsid w:val="000D0E5A"/>
    <w:rsid w:val="000D3263"/>
    <w:rsid w:val="000D744B"/>
    <w:rsid w:val="000F3311"/>
    <w:rsid w:val="001066E6"/>
    <w:rsid w:val="001612E0"/>
    <w:rsid w:val="001701A1"/>
    <w:rsid w:val="001862C9"/>
    <w:rsid w:val="00191FA2"/>
    <w:rsid w:val="00192061"/>
    <w:rsid w:val="00192360"/>
    <w:rsid w:val="001A7BD9"/>
    <w:rsid w:val="001B1A7B"/>
    <w:rsid w:val="001C3923"/>
    <w:rsid w:val="001C76D0"/>
    <w:rsid w:val="001D2159"/>
    <w:rsid w:val="001E625E"/>
    <w:rsid w:val="001F0C41"/>
    <w:rsid w:val="00203523"/>
    <w:rsid w:val="00205EE9"/>
    <w:rsid w:val="00226643"/>
    <w:rsid w:val="00233734"/>
    <w:rsid w:val="00233DDA"/>
    <w:rsid w:val="002458F0"/>
    <w:rsid w:val="00267512"/>
    <w:rsid w:val="00270446"/>
    <w:rsid w:val="00281ABB"/>
    <w:rsid w:val="002829F2"/>
    <w:rsid w:val="00292446"/>
    <w:rsid w:val="002A0D6A"/>
    <w:rsid w:val="002A4E97"/>
    <w:rsid w:val="002B52CA"/>
    <w:rsid w:val="002D02A2"/>
    <w:rsid w:val="002D17CF"/>
    <w:rsid w:val="002E17D0"/>
    <w:rsid w:val="002F30E6"/>
    <w:rsid w:val="002F5E3D"/>
    <w:rsid w:val="00304947"/>
    <w:rsid w:val="003100E7"/>
    <w:rsid w:val="00332AB8"/>
    <w:rsid w:val="00354B10"/>
    <w:rsid w:val="00354DDA"/>
    <w:rsid w:val="00356C55"/>
    <w:rsid w:val="00356E1F"/>
    <w:rsid w:val="0036684D"/>
    <w:rsid w:val="00376FB0"/>
    <w:rsid w:val="00385EFD"/>
    <w:rsid w:val="003860B3"/>
    <w:rsid w:val="00390303"/>
    <w:rsid w:val="003A1B0E"/>
    <w:rsid w:val="003A26BC"/>
    <w:rsid w:val="003A285D"/>
    <w:rsid w:val="003B2850"/>
    <w:rsid w:val="003B5FFA"/>
    <w:rsid w:val="003B77DD"/>
    <w:rsid w:val="003C3E42"/>
    <w:rsid w:val="003C69C7"/>
    <w:rsid w:val="003E79EF"/>
    <w:rsid w:val="003F3E07"/>
    <w:rsid w:val="003F70C9"/>
    <w:rsid w:val="0042700C"/>
    <w:rsid w:val="0043250C"/>
    <w:rsid w:val="0043369E"/>
    <w:rsid w:val="00442E93"/>
    <w:rsid w:val="00460FD0"/>
    <w:rsid w:val="004618CB"/>
    <w:rsid w:val="0046270A"/>
    <w:rsid w:val="00473E8D"/>
    <w:rsid w:val="00475072"/>
    <w:rsid w:val="004767B0"/>
    <w:rsid w:val="0048044B"/>
    <w:rsid w:val="0048510B"/>
    <w:rsid w:val="00486DD1"/>
    <w:rsid w:val="00493520"/>
    <w:rsid w:val="004A0F64"/>
    <w:rsid w:val="004A4E82"/>
    <w:rsid w:val="004B1CE6"/>
    <w:rsid w:val="004B4E1C"/>
    <w:rsid w:val="004B5ABF"/>
    <w:rsid w:val="004C5695"/>
    <w:rsid w:val="004C5B2D"/>
    <w:rsid w:val="004F45D7"/>
    <w:rsid w:val="005008E6"/>
    <w:rsid w:val="00500AC3"/>
    <w:rsid w:val="00502671"/>
    <w:rsid w:val="005107B8"/>
    <w:rsid w:val="005112F9"/>
    <w:rsid w:val="0053098F"/>
    <w:rsid w:val="00531444"/>
    <w:rsid w:val="00536E48"/>
    <w:rsid w:val="005375A9"/>
    <w:rsid w:val="005630AD"/>
    <w:rsid w:val="005719D7"/>
    <w:rsid w:val="00573E9C"/>
    <w:rsid w:val="00576E82"/>
    <w:rsid w:val="0059573B"/>
    <w:rsid w:val="00597D47"/>
    <w:rsid w:val="005A0C47"/>
    <w:rsid w:val="005A2290"/>
    <w:rsid w:val="005A7B17"/>
    <w:rsid w:val="005B0854"/>
    <w:rsid w:val="005B3E35"/>
    <w:rsid w:val="005B5F24"/>
    <w:rsid w:val="005C299A"/>
    <w:rsid w:val="005C5EC4"/>
    <w:rsid w:val="005D04B2"/>
    <w:rsid w:val="005D203C"/>
    <w:rsid w:val="005D71A6"/>
    <w:rsid w:val="005E1743"/>
    <w:rsid w:val="005E5E0E"/>
    <w:rsid w:val="006107FB"/>
    <w:rsid w:val="006111A9"/>
    <w:rsid w:val="00616FB8"/>
    <w:rsid w:val="0062001B"/>
    <w:rsid w:val="0062295C"/>
    <w:rsid w:val="00623501"/>
    <w:rsid w:val="006278B9"/>
    <w:rsid w:val="00627AAE"/>
    <w:rsid w:val="00627EF4"/>
    <w:rsid w:val="0064379E"/>
    <w:rsid w:val="00662D70"/>
    <w:rsid w:val="00665D4D"/>
    <w:rsid w:val="00665E2C"/>
    <w:rsid w:val="00675E32"/>
    <w:rsid w:val="0067615A"/>
    <w:rsid w:val="006774CA"/>
    <w:rsid w:val="00682C27"/>
    <w:rsid w:val="006903FB"/>
    <w:rsid w:val="00692BCC"/>
    <w:rsid w:val="00697647"/>
    <w:rsid w:val="006A1624"/>
    <w:rsid w:val="006A5A51"/>
    <w:rsid w:val="006B3673"/>
    <w:rsid w:val="006C28BF"/>
    <w:rsid w:val="006C3732"/>
    <w:rsid w:val="006C44BB"/>
    <w:rsid w:val="006C72F4"/>
    <w:rsid w:val="006D2347"/>
    <w:rsid w:val="006D2F64"/>
    <w:rsid w:val="006D3A6C"/>
    <w:rsid w:val="006E2723"/>
    <w:rsid w:val="006E2CF2"/>
    <w:rsid w:val="006E50C3"/>
    <w:rsid w:val="006F0025"/>
    <w:rsid w:val="006F1670"/>
    <w:rsid w:val="006F44E8"/>
    <w:rsid w:val="006F5B4C"/>
    <w:rsid w:val="007146C7"/>
    <w:rsid w:val="00714B7A"/>
    <w:rsid w:val="00714F6C"/>
    <w:rsid w:val="007205BA"/>
    <w:rsid w:val="00723A47"/>
    <w:rsid w:val="00723E3C"/>
    <w:rsid w:val="00746247"/>
    <w:rsid w:val="00754D35"/>
    <w:rsid w:val="00756B21"/>
    <w:rsid w:val="007628F4"/>
    <w:rsid w:val="00782C2F"/>
    <w:rsid w:val="007841A0"/>
    <w:rsid w:val="00790FE6"/>
    <w:rsid w:val="007C6BD4"/>
    <w:rsid w:val="007C743C"/>
    <w:rsid w:val="007D41A6"/>
    <w:rsid w:val="007D60F5"/>
    <w:rsid w:val="007E43EC"/>
    <w:rsid w:val="008166FF"/>
    <w:rsid w:val="00821DEB"/>
    <w:rsid w:val="00833DEA"/>
    <w:rsid w:val="0083772D"/>
    <w:rsid w:val="00837BFE"/>
    <w:rsid w:val="00843EE0"/>
    <w:rsid w:val="00846625"/>
    <w:rsid w:val="008513CD"/>
    <w:rsid w:val="008551AC"/>
    <w:rsid w:val="0085778A"/>
    <w:rsid w:val="00864AFC"/>
    <w:rsid w:val="00866FDB"/>
    <w:rsid w:val="008A0B64"/>
    <w:rsid w:val="008A266F"/>
    <w:rsid w:val="008A2ECB"/>
    <w:rsid w:val="008D5DF8"/>
    <w:rsid w:val="008E5FDE"/>
    <w:rsid w:val="008F0C4A"/>
    <w:rsid w:val="008F4A7D"/>
    <w:rsid w:val="008F4EE5"/>
    <w:rsid w:val="00910069"/>
    <w:rsid w:val="00923D31"/>
    <w:rsid w:val="00924205"/>
    <w:rsid w:val="009318C2"/>
    <w:rsid w:val="00933CA2"/>
    <w:rsid w:val="00937974"/>
    <w:rsid w:val="00951219"/>
    <w:rsid w:val="00960A49"/>
    <w:rsid w:val="009714B2"/>
    <w:rsid w:val="009730C2"/>
    <w:rsid w:val="00974086"/>
    <w:rsid w:val="00975430"/>
    <w:rsid w:val="00981740"/>
    <w:rsid w:val="009819FD"/>
    <w:rsid w:val="0099409E"/>
    <w:rsid w:val="009A22E4"/>
    <w:rsid w:val="009A3074"/>
    <w:rsid w:val="009A4E0E"/>
    <w:rsid w:val="009B7301"/>
    <w:rsid w:val="009C3478"/>
    <w:rsid w:val="009C3A2C"/>
    <w:rsid w:val="009C50CC"/>
    <w:rsid w:val="009D4CA2"/>
    <w:rsid w:val="00A1421B"/>
    <w:rsid w:val="00A16A4D"/>
    <w:rsid w:val="00A33C1E"/>
    <w:rsid w:val="00A37663"/>
    <w:rsid w:val="00A509CB"/>
    <w:rsid w:val="00A63A2E"/>
    <w:rsid w:val="00A718BE"/>
    <w:rsid w:val="00A74EE2"/>
    <w:rsid w:val="00A76356"/>
    <w:rsid w:val="00A92AA0"/>
    <w:rsid w:val="00AA334C"/>
    <w:rsid w:val="00AB0C1C"/>
    <w:rsid w:val="00AB16E9"/>
    <w:rsid w:val="00AB621B"/>
    <w:rsid w:val="00AC1A25"/>
    <w:rsid w:val="00AC2033"/>
    <w:rsid w:val="00AC6525"/>
    <w:rsid w:val="00AD4C5E"/>
    <w:rsid w:val="00AD6406"/>
    <w:rsid w:val="00AD6A17"/>
    <w:rsid w:val="00AD7CDB"/>
    <w:rsid w:val="00AE3844"/>
    <w:rsid w:val="00AF4E45"/>
    <w:rsid w:val="00AF7F84"/>
    <w:rsid w:val="00B105AA"/>
    <w:rsid w:val="00B106CF"/>
    <w:rsid w:val="00B123E5"/>
    <w:rsid w:val="00B17979"/>
    <w:rsid w:val="00B22044"/>
    <w:rsid w:val="00B221C3"/>
    <w:rsid w:val="00B26E61"/>
    <w:rsid w:val="00B3691F"/>
    <w:rsid w:val="00B36BE3"/>
    <w:rsid w:val="00B37879"/>
    <w:rsid w:val="00B4215C"/>
    <w:rsid w:val="00B64D9E"/>
    <w:rsid w:val="00B65A8D"/>
    <w:rsid w:val="00B671A7"/>
    <w:rsid w:val="00B7029A"/>
    <w:rsid w:val="00B83181"/>
    <w:rsid w:val="00B97354"/>
    <w:rsid w:val="00BA39CB"/>
    <w:rsid w:val="00BA50CF"/>
    <w:rsid w:val="00BB1C42"/>
    <w:rsid w:val="00BC1918"/>
    <w:rsid w:val="00BC53FD"/>
    <w:rsid w:val="00BC5A38"/>
    <w:rsid w:val="00BD3B83"/>
    <w:rsid w:val="00BE107C"/>
    <w:rsid w:val="00BF4B19"/>
    <w:rsid w:val="00C271FC"/>
    <w:rsid w:val="00C31CA3"/>
    <w:rsid w:val="00C37CB4"/>
    <w:rsid w:val="00C44B7E"/>
    <w:rsid w:val="00C603B0"/>
    <w:rsid w:val="00C729A0"/>
    <w:rsid w:val="00C77788"/>
    <w:rsid w:val="00C8492C"/>
    <w:rsid w:val="00C90312"/>
    <w:rsid w:val="00C93238"/>
    <w:rsid w:val="00C966E2"/>
    <w:rsid w:val="00CA27C5"/>
    <w:rsid w:val="00CB74E2"/>
    <w:rsid w:val="00CC0B83"/>
    <w:rsid w:val="00CC3BD5"/>
    <w:rsid w:val="00CD1A58"/>
    <w:rsid w:val="00CD3B64"/>
    <w:rsid w:val="00CD6740"/>
    <w:rsid w:val="00CE04D5"/>
    <w:rsid w:val="00CE45CB"/>
    <w:rsid w:val="00CF001B"/>
    <w:rsid w:val="00CF0F55"/>
    <w:rsid w:val="00CF106B"/>
    <w:rsid w:val="00CF39C8"/>
    <w:rsid w:val="00CF4BAA"/>
    <w:rsid w:val="00D1563C"/>
    <w:rsid w:val="00D2531C"/>
    <w:rsid w:val="00D27745"/>
    <w:rsid w:val="00D309AE"/>
    <w:rsid w:val="00D33E8E"/>
    <w:rsid w:val="00D345BE"/>
    <w:rsid w:val="00D43C15"/>
    <w:rsid w:val="00D46886"/>
    <w:rsid w:val="00D55E4A"/>
    <w:rsid w:val="00D93B2B"/>
    <w:rsid w:val="00DA3593"/>
    <w:rsid w:val="00DA5849"/>
    <w:rsid w:val="00DA6A1E"/>
    <w:rsid w:val="00DB1DAA"/>
    <w:rsid w:val="00DC0D79"/>
    <w:rsid w:val="00DC3F6B"/>
    <w:rsid w:val="00DD3347"/>
    <w:rsid w:val="00DE2140"/>
    <w:rsid w:val="00DE7354"/>
    <w:rsid w:val="00DF37CD"/>
    <w:rsid w:val="00E02BC4"/>
    <w:rsid w:val="00E05C43"/>
    <w:rsid w:val="00E10A6B"/>
    <w:rsid w:val="00E13D11"/>
    <w:rsid w:val="00E256A7"/>
    <w:rsid w:val="00E26A85"/>
    <w:rsid w:val="00E26E6D"/>
    <w:rsid w:val="00E3223F"/>
    <w:rsid w:val="00E37DA3"/>
    <w:rsid w:val="00E41AF6"/>
    <w:rsid w:val="00E45F4D"/>
    <w:rsid w:val="00E52194"/>
    <w:rsid w:val="00E626BB"/>
    <w:rsid w:val="00E64D26"/>
    <w:rsid w:val="00E72C01"/>
    <w:rsid w:val="00E74891"/>
    <w:rsid w:val="00E85526"/>
    <w:rsid w:val="00E8600A"/>
    <w:rsid w:val="00E8709D"/>
    <w:rsid w:val="00E87373"/>
    <w:rsid w:val="00E87A93"/>
    <w:rsid w:val="00E87DC6"/>
    <w:rsid w:val="00E9224C"/>
    <w:rsid w:val="00EA3FDE"/>
    <w:rsid w:val="00EA60D7"/>
    <w:rsid w:val="00EA739D"/>
    <w:rsid w:val="00EB28E6"/>
    <w:rsid w:val="00EB3C5A"/>
    <w:rsid w:val="00EB7850"/>
    <w:rsid w:val="00EC2F16"/>
    <w:rsid w:val="00EC39DB"/>
    <w:rsid w:val="00ED08B8"/>
    <w:rsid w:val="00EF0454"/>
    <w:rsid w:val="00EF7E04"/>
    <w:rsid w:val="00F12720"/>
    <w:rsid w:val="00F14241"/>
    <w:rsid w:val="00F16EDE"/>
    <w:rsid w:val="00F3107E"/>
    <w:rsid w:val="00F35354"/>
    <w:rsid w:val="00F42376"/>
    <w:rsid w:val="00F51938"/>
    <w:rsid w:val="00F669E7"/>
    <w:rsid w:val="00F73D56"/>
    <w:rsid w:val="00F7481F"/>
    <w:rsid w:val="00F81D8C"/>
    <w:rsid w:val="00FA2DBD"/>
    <w:rsid w:val="00FB1403"/>
    <w:rsid w:val="00FB15A6"/>
    <w:rsid w:val="00FB1706"/>
    <w:rsid w:val="00FB3940"/>
    <w:rsid w:val="00FC0693"/>
    <w:rsid w:val="00FD566F"/>
    <w:rsid w:val="00FE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994A"/>
  <w15:docId w15:val="{5F608BA6-950A-4602-B750-9E8BB80F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66E6"/>
    <w:pPr>
      <w:tabs>
        <w:tab w:val="center" w:pos="4844"/>
        <w:tab w:val="right" w:pos="9689"/>
      </w:tabs>
      <w:spacing w:after="0" w:line="240" w:lineRule="auto"/>
    </w:pPr>
  </w:style>
  <w:style w:type="character" w:customStyle="1" w:styleId="HeaderChar">
    <w:name w:val="Header Char"/>
    <w:basedOn w:val="DefaultParagraphFont"/>
    <w:link w:val="Header"/>
    <w:uiPriority w:val="99"/>
    <w:rsid w:val="001066E6"/>
  </w:style>
  <w:style w:type="paragraph" w:styleId="Footer">
    <w:name w:val="footer"/>
    <w:basedOn w:val="Normal"/>
    <w:link w:val="FooterChar"/>
    <w:uiPriority w:val="99"/>
    <w:unhideWhenUsed/>
    <w:rsid w:val="001066E6"/>
    <w:pPr>
      <w:tabs>
        <w:tab w:val="center" w:pos="4844"/>
        <w:tab w:val="right" w:pos="9689"/>
      </w:tabs>
      <w:spacing w:after="0" w:line="240" w:lineRule="auto"/>
    </w:pPr>
  </w:style>
  <w:style w:type="character" w:customStyle="1" w:styleId="FooterChar">
    <w:name w:val="Footer Char"/>
    <w:basedOn w:val="DefaultParagraphFont"/>
    <w:link w:val="Footer"/>
    <w:uiPriority w:val="99"/>
    <w:rsid w:val="001066E6"/>
  </w:style>
  <w:style w:type="paragraph" w:styleId="Revision">
    <w:name w:val="Revision"/>
    <w:hidden/>
    <w:uiPriority w:val="99"/>
    <w:semiHidden/>
    <w:rsid w:val="00CE04D5"/>
    <w:pPr>
      <w:spacing w:after="0" w:line="240" w:lineRule="auto"/>
    </w:pPr>
  </w:style>
  <w:style w:type="paragraph" w:customStyle="1" w:styleId="Default">
    <w:name w:val="Default"/>
    <w:rsid w:val="00354DDA"/>
    <w:pPr>
      <w:autoSpaceDE w:val="0"/>
      <w:autoSpaceDN w:val="0"/>
      <w:adjustRightInd w:val="0"/>
      <w:spacing w:after="0" w:line="240" w:lineRule="auto"/>
    </w:pPr>
    <w:rPr>
      <w:rFonts w:ascii="Times New Roman" w:hAnsi="Times New Roman" w:cs="Times New Roman"/>
      <w:color w:val="000000"/>
      <w:sz w:val="24"/>
      <w:szCs w:val="24"/>
      <w:lang w:val="ro-MD"/>
      <w14:ligatures w14:val="standardContextual"/>
    </w:rPr>
  </w:style>
  <w:style w:type="paragraph" w:customStyle="1" w:styleId="CM4">
    <w:name w:val="CM4"/>
    <w:basedOn w:val="Default"/>
    <w:next w:val="Default"/>
    <w:uiPriority w:val="99"/>
    <w:rsid w:val="00354DDA"/>
    <w:rPr>
      <w:color w:val="auto"/>
    </w:rPr>
  </w:style>
  <w:style w:type="table" w:styleId="TableGrid">
    <w:name w:val="Table Grid"/>
    <w:basedOn w:val="TableNormal"/>
    <w:uiPriority w:val="39"/>
    <w:rsid w:val="00F669E7"/>
    <w:pPr>
      <w:spacing w:after="0" w:line="240" w:lineRule="auto"/>
    </w:pPr>
    <w:rPr>
      <w:kern w:val="2"/>
      <w:lang w:val="ro-M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BD5"/>
    <w:pPr>
      <w:ind w:left="720"/>
      <w:contextualSpacing/>
    </w:pPr>
  </w:style>
  <w:style w:type="paragraph" w:customStyle="1" w:styleId="CM1">
    <w:name w:val="CM1"/>
    <w:basedOn w:val="Default"/>
    <w:next w:val="Default"/>
    <w:uiPriority w:val="99"/>
    <w:rsid w:val="00B221C3"/>
    <w:rPr>
      <w:color w:val="auto"/>
    </w:rPr>
  </w:style>
  <w:style w:type="paragraph" w:customStyle="1" w:styleId="CM3">
    <w:name w:val="CM3"/>
    <w:basedOn w:val="Default"/>
    <w:next w:val="Default"/>
    <w:uiPriority w:val="99"/>
    <w:rsid w:val="00B221C3"/>
    <w:rPr>
      <w:color w:val="auto"/>
    </w:rPr>
  </w:style>
  <w:style w:type="paragraph" w:styleId="NoSpacing">
    <w:name w:val="No Spacing"/>
    <w:uiPriority w:val="1"/>
    <w:qFormat/>
    <w:rsid w:val="00A37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118104">
      <w:bodyDiv w:val="1"/>
      <w:marLeft w:val="0"/>
      <w:marRight w:val="0"/>
      <w:marTop w:val="0"/>
      <w:marBottom w:val="0"/>
      <w:divBdr>
        <w:top w:val="none" w:sz="0" w:space="0" w:color="auto"/>
        <w:left w:val="none" w:sz="0" w:space="0" w:color="auto"/>
        <w:bottom w:val="none" w:sz="0" w:space="0" w:color="auto"/>
        <w:right w:val="none" w:sz="0" w:space="0" w:color="auto"/>
      </w:divBdr>
    </w:div>
    <w:div w:id="1173374358">
      <w:bodyDiv w:val="1"/>
      <w:marLeft w:val="0"/>
      <w:marRight w:val="0"/>
      <w:marTop w:val="0"/>
      <w:marBottom w:val="0"/>
      <w:divBdr>
        <w:top w:val="none" w:sz="0" w:space="0" w:color="auto"/>
        <w:left w:val="none" w:sz="0" w:space="0" w:color="auto"/>
        <w:bottom w:val="none" w:sz="0" w:space="0" w:color="auto"/>
        <w:right w:val="none" w:sz="0" w:space="0" w:color="auto"/>
      </w:divBdr>
    </w:div>
    <w:div w:id="1588464037">
      <w:bodyDiv w:val="1"/>
      <w:marLeft w:val="0"/>
      <w:marRight w:val="0"/>
      <w:marTop w:val="0"/>
      <w:marBottom w:val="0"/>
      <w:divBdr>
        <w:top w:val="none" w:sz="0" w:space="0" w:color="auto"/>
        <w:left w:val="none" w:sz="0" w:space="0" w:color="auto"/>
        <w:bottom w:val="none" w:sz="0" w:space="0" w:color="auto"/>
        <w:right w:val="none" w:sz="0" w:space="0" w:color="auto"/>
      </w:divBdr>
    </w:div>
    <w:div w:id="1977098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jpe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jpe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jpeg"/><Relationship Id="rId53" Type="http://schemas.openxmlformats.org/officeDocument/2006/relationships/image" Target="media/image45.emf"/><Relationship Id="rId58" Type="http://schemas.openxmlformats.org/officeDocument/2006/relationships/image" Target="media/image50.jpeg"/><Relationship Id="rId74" Type="http://schemas.openxmlformats.org/officeDocument/2006/relationships/image" Target="media/image66.png"/><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image" Target="media/image53.png"/><Relationship Id="rId82" Type="http://schemas.openxmlformats.org/officeDocument/2006/relationships/theme" Target="theme/theme1.xml"/><Relationship Id="rId19" Type="http://schemas.openxmlformats.org/officeDocument/2006/relationships/image" Target="media/image11.jpe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jpe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endnotes" Target="endnotes.xml"/><Relationship Id="rId51" Type="http://schemas.openxmlformats.org/officeDocument/2006/relationships/image" Target="media/image43.jpeg"/><Relationship Id="rId72" Type="http://schemas.openxmlformats.org/officeDocument/2006/relationships/image" Target="media/image64.png"/><Relationship Id="rId80"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jpe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png"/><Relationship Id="rId75"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jpe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jpeg"/><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jpe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jpeg"/><Relationship Id="rId76" Type="http://schemas.openxmlformats.org/officeDocument/2006/relationships/image" Target="media/image68.png"/><Relationship Id="rId7" Type="http://schemas.openxmlformats.org/officeDocument/2006/relationships/footnotes" Target="footnotes.xml"/><Relationship Id="rId71" Type="http://schemas.openxmlformats.org/officeDocument/2006/relationships/image" Target="media/image63.png"/><Relationship Id="rId2" Type="http://schemas.openxmlformats.org/officeDocument/2006/relationships/customXml" Target="../customXml/item2.xml"/><Relationship Id="rId29" Type="http://schemas.openxmlformats.org/officeDocument/2006/relationships/image" Target="media/image21.jpe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jpeg"/><Relationship Id="rId66" Type="http://schemas.openxmlformats.org/officeDocument/2006/relationships/image" Target="media/image5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5acaeb34-6fc8-4363-b463-f67a88274d97</TitusGUID>
  <TitusMetadata xmlns="">eyJucyI6IioiLCJwcm9wcyI6W3sibiI6IkNsYXNpZmljYXJlIiwidmFscyI6W3sidmFsdWUiOiJQdWJsaWMifV19XX0=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7CB8-56B6-4C0F-B5CB-89B8F7978BB9}">
  <ds:schemaRefs>
    <ds:schemaRef ds:uri="http://schemas.titus.com/TitusProperties/"/>
    <ds:schemaRef ds:uri=""/>
  </ds:schemaRefs>
</ds:datastoreItem>
</file>

<file path=customXml/itemProps2.xml><?xml version="1.0" encoding="utf-8"?>
<ds:datastoreItem xmlns:ds="http://schemas.openxmlformats.org/officeDocument/2006/customXml" ds:itemID="{9B61B625-8E9A-4D1A-ABDB-4B72AB10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16518</Words>
  <Characters>94159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dcterms:created xsi:type="dcterms:W3CDTF">2024-04-17T15:07:00Z</dcterms:created>
  <dcterms:modified xsi:type="dcterms:W3CDTF">2024-04-17T15:07:00Z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5acaeb34-6fc8-4363-b463-f67a88274d97</vt:lpwstr>
  </property>
  <property fmtid="{D5CDD505-2E9C-101B-9397-08002B2CF9AE}" pid="3" name="Clasificare">
    <vt:lpwstr>Public</vt:lpwstr>
  </property>
</Properties>
</file>